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43F6A8">
      <w:pPr>
        <w:spacing w:line="700" w:lineRule="exact"/>
        <w:jc w:val="center"/>
        <w:rPr>
          <w:rFonts w:hint="eastAsia" w:ascii="宋体" w:hAnsi="宋体" w:eastAsia="宋体" w:cs="宋体"/>
          <w:b w:val="0"/>
          <w:bCs w:val="0"/>
          <w:sz w:val="40"/>
          <w:szCs w:val="40"/>
        </w:rPr>
      </w:pPr>
      <w:r>
        <w:rPr>
          <w:rFonts w:hint="eastAsia" w:ascii="宋体" w:hAnsi="宋体" w:eastAsia="宋体" w:cs="宋体"/>
          <w:b w:val="0"/>
          <w:bCs w:val="0"/>
          <w:sz w:val="40"/>
          <w:szCs w:val="40"/>
        </w:rPr>
        <w:t>宜兴市</w:t>
      </w:r>
      <w:r>
        <w:rPr>
          <w:rFonts w:hint="eastAsia" w:ascii="宋体" w:hAnsi="宋体" w:eastAsia="宋体" w:cs="宋体"/>
          <w:b w:val="0"/>
          <w:bCs w:val="0"/>
          <w:sz w:val="40"/>
          <w:szCs w:val="40"/>
          <w:lang w:val="en-US" w:eastAsia="zh-CN"/>
        </w:rPr>
        <w:t>中医医院</w:t>
      </w:r>
      <w:r>
        <w:rPr>
          <w:rFonts w:hint="eastAsia" w:ascii="宋体" w:hAnsi="宋体" w:eastAsia="宋体" w:cs="宋体"/>
          <w:b w:val="0"/>
          <w:bCs w:val="0"/>
          <w:sz w:val="40"/>
          <w:szCs w:val="40"/>
        </w:rPr>
        <w:t>部分</w:t>
      </w:r>
      <w:r>
        <w:rPr>
          <w:rFonts w:hint="eastAsia" w:ascii="宋体" w:hAnsi="宋体" w:eastAsia="宋体" w:cs="宋体"/>
          <w:b w:val="0"/>
          <w:bCs w:val="0"/>
          <w:sz w:val="40"/>
          <w:szCs w:val="40"/>
          <w:lang w:val="en-US" w:eastAsia="zh-CN"/>
        </w:rPr>
        <w:t>商业</w:t>
      </w:r>
      <w:r>
        <w:rPr>
          <w:rFonts w:hint="eastAsia" w:ascii="宋体" w:hAnsi="宋体" w:eastAsia="宋体" w:cs="宋体"/>
          <w:b w:val="0"/>
          <w:bCs w:val="0"/>
          <w:sz w:val="40"/>
          <w:szCs w:val="40"/>
        </w:rPr>
        <w:t>房</w:t>
      </w:r>
      <w:r>
        <w:rPr>
          <w:rFonts w:hint="eastAsia" w:ascii="宋体" w:hAnsi="宋体" w:eastAsia="宋体" w:cs="宋体"/>
          <w:b w:val="0"/>
          <w:bCs w:val="0"/>
          <w:sz w:val="40"/>
          <w:szCs w:val="40"/>
          <w:lang w:val="en-US" w:eastAsia="zh-CN"/>
        </w:rPr>
        <w:t>产</w:t>
      </w:r>
      <w:r>
        <w:rPr>
          <w:rFonts w:hint="eastAsia" w:ascii="宋体" w:hAnsi="宋体" w:eastAsia="宋体" w:cs="宋体"/>
          <w:b w:val="0"/>
          <w:bCs w:val="0"/>
          <w:sz w:val="40"/>
          <w:szCs w:val="40"/>
        </w:rPr>
        <w:t>的租赁权</w:t>
      </w:r>
    </w:p>
    <w:p w14:paraId="33ECC87E">
      <w:pPr>
        <w:spacing w:line="700" w:lineRule="exact"/>
        <w:jc w:val="center"/>
        <w:rPr>
          <w:rFonts w:ascii="宋体" w:hAnsi="宋体" w:eastAsia="宋体" w:cs="宋体"/>
          <w:b/>
          <w:bCs/>
          <w:sz w:val="36"/>
          <w:szCs w:val="36"/>
        </w:rPr>
      </w:pPr>
      <w:r>
        <w:rPr>
          <w:rFonts w:hint="eastAsia" w:ascii="宋体" w:hAnsi="宋体" w:eastAsia="宋体" w:cs="宋体"/>
          <w:b w:val="0"/>
          <w:bCs w:val="0"/>
          <w:sz w:val="40"/>
          <w:szCs w:val="40"/>
        </w:rPr>
        <w:t>拍卖须知</w:t>
      </w:r>
    </w:p>
    <w:p w14:paraId="1195B7D0">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本须知根据《中华人民共和国拍卖法》及有关法律、法规和委托人的要求制定，本次拍卖活动遵循“公开、公平、公正、诚实守信”原则，竞买人应仔细阅读和遵守规则，并对自己的行为负责。</w:t>
      </w:r>
    </w:p>
    <w:p w14:paraId="7DA29A39">
      <w:pPr>
        <w:spacing w:line="420" w:lineRule="exact"/>
        <w:ind w:firstLine="560" w:firstLineChars="200"/>
        <w:rPr>
          <w:rFonts w:hint="eastAsia"/>
          <w:sz w:val="28"/>
          <w:szCs w:val="28"/>
          <w:shd w:val="clear" w:color="auto" w:fill="auto"/>
        </w:rPr>
      </w:pPr>
      <w:r>
        <w:rPr>
          <w:rFonts w:hint="eastAsia" w:cs="宋体" w:asciiTheme="minorEastAsia" w:hAnsiTheme="minorEastAsia"/>
          <w:sz w:val="28"/>
          <w:szCs w:val="28"/>
        </w:rPr>
        <w:t>第一条</w:t>
      </w:r>
      <w:bookmarkStart w:id="0" w:name="_Hlk196151411"/>
      <w:bookmarkStart w:id="1" w:name="_Hlk192784023"/>
      <w:r>
        <w:rPr>
          <w:rFonts w:hint="eastAsia"/>
          <w:sz w:val="28"/>
          <w:szCs w:val="28"/>
          <w:shd w:val="clear" w:color="auto" w:fill="auto"/>
        </w:rPr>
        <w:t>、拍卖标的</w:t>
      </w:r>
    </w:p>
    <w:tbl>
      <w:tblPr>
        <w:tblStyle w:val="7"/>
        <w:tblW w:w="89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2"/>
        <w:gridCol w:w="2253"/>
        <w:gridCol w:w="1134"/>
        <w:gridCol w:w="1134"/>
        <w:gridCol w:w="1276"/>
        <w:gridCol w:w="1105"/>
      </w:tblGrid>
      <w:tr w14:paraId="5A03B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4" w:hRule="atLeast"/>
          <w:jc w:val="center"/>
        </w:trPr>
        <w:tc>
          <w:tcPr>
            <w:tcW w:w="2052" w:type="dxa"/>
            <w:vAlign w:val="center"/>
          </w:tcPr>
          <w:p w14:paraId="6203805B">
            <w:pPr>
              <w:ind w:firstLine="420" w:firstLineChars="200"/>
              <w:rPr>
                <w:rFonts w:hint="eastAsia"/>
                <w:sz w:val="21"/>
                <w:szCs w:val="21"/>
                <w:shd w:val="clear" w:color="auto" w:fill="auto"/>
              </w:rPr>
            </w:pPr>
            <w:bookmarkStart w:id="2" w:name="_Hlk154154927"/>
            <w:r>
              <w:rPr>
                <w:rFonts w:hint="eastAsia"/>
                <w:sz w:val="21"/>
                <w:szCs w:val="21"/>
                <w:shd w:val="clear" w:color="auto" w:fill="auto"/>
              </w:rPr>
              <w:t>标的编号</w:t>
            </w:r>
          </w:p>
        </w:tc>
        <w:tc>
          <w:tcPr>
            <w:tcW w:w="2253" w:type="dxa"/>
            <w:vAlign w:val="center"/>
          </w:tcPr>
          <w:p w14:paraId="3B600271">
            <w:pPr>
              <w:ind w:firstLine="420" w:firstLineChars="200"/>
              <w:rPr>
                <w:rFonts w:hint="eastAsia"/>
                <w:sz w:val="21"/>
                <w:szCs w:val="21"/>
                <w:shd w:val="clear" w:color="auto" w:fill="auto"/>
              </w:rPr>
            </w:pPr>
            <w:r>
              <w:rPr>
                <w:rFonts w:hint="eastAsia"/>
                <w:sz w:val="21"/>
                <w:szCs w:val="21"/>
                <w:shd w:val="clear" w:color="auto" w:fill="auto"/>
              </w:rPr>
              <w:t>标的名称</w:t>
            </w:r>
          </w:p>
        </w:tc>
        <w:tc>
          <w:tcPr>
            <w:tcW w:w="1134" w:type="dxa"/>
            <w:vAlign w:val="center"/>
          </w:tcPr>
          <w:p w14:paraId="5FDC875E">
            <w:pPr>
              <w:ind w:left="183" w:leftChars="87" w:firstLine="0" w:firstLineChars="0"/>
              <w:rPr>
                <w:rFonts w:hint="eastAsia"/>
                <w:sz w:val="21"/>
                <w:szCs w:val="21"/>
                <w:shd w:val="clear" w:color="auto" w:fill="auto"/>
              </w:rPr>
            </w:pPr>
            <w:r>
              <w:rPr>
                <w:rFonts w:hint="eastAsia"/>
                <w:sz w:val="21"/>
                <w:szCs w:val="21"/>
                <w:shd w:val="clear" w:color="auto" w:fill="auto"/>
              </w:rPr>
              <w:t>面积约（㎡）</w:t>
            </w:r>
          </w:p>
        </w:tc>
        <w:tc>
          <w:tcPr>
            <w:tcW w:w="1134" w:type="dxa"/>
            <w:vAlign w:val="center"/>
          </w:tcPr>
          <w:p w14:paraId="2A420B2C">
            <w:pPr>
              <w:ind w:left="210" w:hanging="210" w:hangingChars="100"/>
              <w:rPr>
                <w:rFonts w:hint="eastAsia"/>
                <w:sz w:val="21"/>
                <w:szCs w:val="21"/>
                <w:shd w:val="clear" w:color="auto" w:fill="auto"/>
              </w:rPr>
            </w:pPr>
            <w:r>
              <w:rPr>
                <w:rFonts w:hint="eastAsia"/>
                <w:sz w:val="21"/>
                <w:szCs w:val="21"/>
                <w:shd w:val="clear" w:color="auto" w:fill="auto"/>
              </w:rPr>
              <w:t>出租年限（年）</w:t>
            </w:r>
          </w:p>
        </w:tc>
        <w:tc>
          <w:tcPr>
            <w:tcW w:w="1276" w:type="dxa"/>
            <w:vAlign w:val="center"/>
          </w:tcPr>
          <w:p w14:paraId="42B371A6">
            <w:pPr>
              <w:ind w:firstLine="210" w:firstLineChars="100"/>
              <w:rPr>
                <w:rFonts w:hint="eastAsia"/>
                <w:sz w:val="21"/>
                <w:szCs w:val="21"/>
                <w:shd w:val="clear" w:color="auto" w:fill="auto"/>
              </w:rPr>
            </w:pPr>
            <w:r>
              <w:rPr>
                <w:rFonts w:hint="eastAsia"/>
                <w:sz w:val="21"/>
                <w:szCs w:val="21"/>
                <w:shd w:val="clear" w:color="auto" w:fill="auto"/>
              </w:rPr>
              <w:t>起拍价</w:t>
            </w:r>
          </w:p>
          <w:p w14:paraId="791BBEE6">
            <w:pPr>
              <w:rPr>
                <w:rFonts w:hint="eastAsia"/>
                <w:sz w:val="21"/>
                <w:szCs w:val="21"/>
                <w:shd w:val="clear" w:color="auto" w:fill="auto"/>
              </w:rPr>
            </w:pPr>
            <w:r>
              <w:rPr>
                <w:rFonts w:hint="eastAsia"/>
                <w:sz w:val="21"/>
                <w:szCs w:val="21"/>
                <w:shd w:val="clear" w:color="auto" w:fill="auto"/>
              </w:rPr>
              <w:t>（万元/年）</w:t>
            </w:r>
          </w:p>
        </w:tc>
        <w:tc>
          <w:tcPr>
            <w:tcW w:w="1105" w:type="dxa"/>
            <w:vAlign w:val="center"/>
          </w:tcPr>
          <w:p w14:paraId="38777657">
            <w:pPr>
              <w:jc w:val="left"/>
              <w:rPr>
                <w:rFonts w:hint="default" w:eastAsiaTheme="minorEastAsia"/>
                <w:sz w:val="21"/>
                <w:szCs w:val="21"/>
                <w:shd w:val="clear" w:color="auto" w:fill="auto"/>
                <w:lang w:val="en-US" w:eastAsia="zh-CN"/>
              </w:rPr>
            </w:pPr>
            <w:r>
              <w:rPr>
                <w:rFonts w:hint="eastAsia"/>
                <w:sz w:val="21"/>
                <w:szCs w:val="21"/>
                <w:shd w:val="clear" w:color="auto" w:fill="auto"/>
              </w:rPr>
              <w:t>备注</w:t>
            </w:r>
            <w:r>
              <w:rPr>
                <w:rFonts w:hint="eastAsia"/>
                <w:sz w:val="21"/>
                <w:szCs w:val="21"/>
                <w:shd w:val="clear" w:color="auto" w:fill="auto"/>
                <w:lang w:eastAsia="zh-CN"/>
              </w:rPr>
              <w:t>（</w:t>
            </w:r>
            <w:r>
              <w:rPr>
                <w:rFonts w:hint="eastAsia"/>
                <w:sz w:val="21"/>
                <w:szCs w:val="21"/>
                <w:shd w:val="clear" w:color="auto" w:fill="auto"/>
                <w:lang w:val="en-US" w:eastAsia="zh-CN"/>
              </w:rPr>
              <w:t>限定用途）</w:t>
            </w:r>
          </w:p>
        </w:tc>
      </w:tr>
      <w:tr w14:paraId="60702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2052" w:type="dxa"/>
            <w:vAlign w:val="center"/>
          </w:tcPr>
          <w:p w14:paraId="4610F6ED">
            <w:pPr>
              <w:rPr>
                <w:rFonts w:hint="default" w:eastAsia="宋体"/>
                <w:sz w:val="21"/>
                <w:szCs w:val="21"/>
                <w:shd w:val="clear" w:color="auto" w:fill="auto"/>
                <w:lang w:val="en-US" w:eastAsia="zh-CN"/>
              </w:rPr>
            </w:pPr>
            <w:r>
              <w:rPr>
                <w:rFonts w:hint="eastAsia"/>
                <w:sz w:val="21"/>
                <w:szCs w:val="21"/>
                <w:shd w:val="clear" w:color="auto" w:fill="auto"/>
                <w:lang w:val="en-US" w:eastAsia="zh-CN"/>
              </w:rPr>
              <w:t>YXZL20250035003</w:t>
            </w:r>
          </w:p>
        </w:tc>
        <w:tc>
          <w:tcPr>
            <w:tcW w:w="2253" w:type="dxa"/>
          </w:tcPr>
          <w:p w14:paraId="13DDB39F">
            <w:pPr>
              <w:spacing w:line="300" w:lineRule="exact"/>
              <w:rPr>
                <w:rFonts w:hint="default" w:eastAsia="宋体"/>
                <w:sz w:val="21"/>
                <w:szCs w:val="21"/>
                <w:shd w:val="clear" w:color="auto" w:fill="auto"/>
                <w:lang w:val="en-US" w:eastAsia="zh-CN"/>
              </w:rPr>
            </w:pPr>
            <w:r>
              <w:rPr>
                <w:rFonts w:hint="eastAsia"/>
                <w:sz w:val="21"/>
                <w:szCs w:val="21"/>
                <w:shd w:val="clear" w:color="auto" w:fill="auto"/>
                <w:lang w:val="en-US" w:eastAsia="zh-CN"/>
              </w:rPr>
              <w:t>宜兴市中医医院住院大楼一楼部分商业房产租赁权</w:t>
            </w:r>
          </w:p>
        </w:tc>
        <w:tc>
          <w:tcPr>
            <w:tcW w:w="1134" w:type="dxa"/>
            <w:vAlign w:val="center"/>
          </w:tcPr>
          <w:p w14:paraId="3B40A637">
            <w:pPr>
              <w:ind w:firstLine="210" w:firstLineChars="100"/>
              <w:rPr>
                <w:rFonts w:hint="default" w:eastAsia="宋体"/>
                <w:sz w:val="21"/>
                <w:szCs w:val="21"/>
                <w:shd w:val="clear" w:color="auto" w:fill="auto"/>
                <w:lang w:val="en-US" w:eastAsia="zh-CN"/>
              </w:rPr>
            </w:pPr>
            <w:r>
              <w:rPr>
                <w:rFonts w:hint="eastAsia"/>
                <w:sz w:val="21"/>
                <w:szCs w:val="21"/>
                <w:shd w:val="clear" w:color="auto" w:fill="auto"/>
                <w:lang w:val="en-US" w:eastAsia="zh-CN"/>
              </w:rPr>
              <w:t xml:space="preserve"> 60.0</w:t>
            </w:r>
          </w:p>
        </w:tc>
        <w:tc>
          <w:tcPr>
            <w:tcW w:w="1134" w:type="dxa"/>
            <w:shd w:val="clear" w:color="auto" w:fill="auto"/>
            <w:vAlign w:val="center"/>
          </w:tcPr>
          <w:p w14:paraId="3A356273">
            <w:pPr>
              <w:ind w:firstLine="420" w:firstLineChars="200"/>
              <w:rPr>
                <w:rFonts w:hint="eastAsia"/>
                <w:sz w:val="21"/>
                <w:szCs w:val="21"/>
                <w:shd w:val="clear" w:color="auto" w:fill="auto"/>
              </w:rPr>
            </w:pPr>
            <w:r>
              <w:rPr>
                <w:rFonts w:hint="eastAsia"/>
                <w:sz w:val="21"/>
                <w:szCs w:val="21"/>
                <w:shd w:val="clear" w:color="auto" w:fill="auto"/>
              </w:rPr>
              <w:t>3</w:t>
            </w:r>
          </w:p>
        </w:tc>
        <w:tc>
          <w:tcPr>
            <w:tcW w:w="1276" w:type="dxa"/>
            <w:vAlign w:val="center"/>
          </w:tcPr>
          <w:p w14:paraId="2D0EA0C8">
            <w:pPr>
              <w:ind w:firstLine="210" w:firstLineChars="100"/>
              <w:rPr>
                <w:rFonts w:hint="default" w:eastAsia="宋体"/>
                <w:sz w:val="21"/>
                <w:szCs w:val="21"/>
                <w:shd w:val="clear" w:color="auto" w:fill="auto"/>
                <w:lang w:val="en-US" w:eastAsia="zh-CN"/>
              </w:rPr>
            </w:pPr>
            <w:r>
              <w:rPr>
                <w:rFonts w:hint="eastAsia"/>
                <w:sz w:val="21"/>
                <w:szCs w:val="21"/>
                <w:shd w:val="clear" w:color="auto" w:fill="auto"/>
                <w:lang w:val="en-US" w:eastAsia="zh-CN"/>
              </w:rPr>
              <w:t>30.0</w:t>
            </w:r>
          </w:p>
        </w:tc>
        <w:tc>
          <w:tcPr>
            <w:tcW w:w="1105" w:type="dxa"/>
            <w:vAlign w:val="center"/>
          </w:tcPr>
          <w:p w14:paraId="253AEBAE">
            <w:pPr>
              <w:rPr>
                <w:rFonts w:hint="default" w:eastAsia="宋体"/>
                <w:sz w:val="21"/>
                <w:szCs w:val="21"/>
                <w:shd w:val="clear" w:color="auto" w:fill="auto"/>
                <w:lang w:val="en-US" w:eastAsia="zh-CN"/>
              </w:rPr>
            </w:pPr>
            <w:r>
              <w:rPr>
                <w:rFonts w:hint="eastAsia"/>
                <w:sz w:val="21"/>
                <w:szCs w:val="21"/>
                <w:shd w:val="clear" w:color="auto" w:fill="auto"/>
                <w:lang w:val="en-US" w:eastAsia="zh-CN"/>
              </w:rPr>
              <w:t>小型超市</w:t>
            </w:r>
          </w:p>
        </w:tc>
      </w:tr>
      <w:tr w14:paraId="69B6F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jc w:val="center"/>
        </w:trPr>
        <w:tc>
          <w:tcPr>
            <w:tcW w:w="2052" w:type="dxa"/>
            <w:vAlign w:val="center"/>
          </w:tcPr>
          <w:p w14:paraId="7EF8122A">
            <w:pPr>
              <w:rPr>
                <w:rFonts w:hint="default" w:eastAsia="宋体"/>
                <w:sz w:val="21"/>
                <w:szCs w:val="21"/>
                <w:shd w:val="clear" w:color="auto" w:fill="auto"/>
                <w:lang w:val="en-US" w:eastAsia="zh-CN"/>
              </w:rPr>
            </w:pPr>
            <w:r>
              <w:rPr>
                <w:rFonts w:hint="eastAsia"/>
                <w:sz w:val="21"/>
                <w:szCs w:val="21"/>
                <w:shd w:val="clear" w:color="auto" w:fill="auto"/>
                <w:lang w:val="en-US" w:eastAsia="zh-CN"/>
              </w:rPr>
              <w:t>YXZL20250035002</w:t>
            </w:r>
          </w:p>
        </w:tc>
        <w:tc>
          <w:tcPr>
            <w:tcW w:w="2253" w:type="dxa"/>
            <w:vAlign w:val="top"/>
          </w:tcPr>
          <w:p w14:paraId="3DC6C6F4">
            <w:pPr>
              <w:spacing w:line="300" w:lineRule="exact"/>
              <w:rPr>
                <w:rFonts w:hint="eastAsia"/>
                <w:sz w:val="21"/>
                <w:szCs w:val="21"/>
                <w:shd w:val="clear" w:color="auto" w:fill="auto"/>
              </w:rPr>
            </w:pPr>
            <w:r>
              <w:rPr>
                <w:rFonts w:hint="eastAsia"/>
                <w:sz w:val="21"/>
                <w:szCs w:val="21"/>
                <w:shd w:val="clear" w:color="auto" w:fill="auto"/>
                <w:lang w:val="en-US" w:eastAsia="zh-CN"/>
              </w:rPr>
              <w:t>宜兴市中医医院门诊大楼二楼部分商业房产租赁权</w:t>
            </w:r>
          </w:p>
        </w:tc>
        <w:tc>
          <w:tcPr>
            <w:tcW w:w="1134" w:type="dxa"/>
            <w:vAlign w:val="center"/>
          </w:tcPr>
          <w:p w14:paraId="68EDACA9">
            <w:pPr>
              <w:ind w:firstLine="210" w:firstLineChars="100"/>
              <w:rPr>
                <w:rFonts w:hint="default" w:eastAsia="宋体"/>
                <w:sz w:val="21"/>
                <w:szCs w:val="21"/>
                <w:shd w:val="clear" w:color="auto" w:fill="auto"/>
                <w:lang w:val="en-US" w:eastAsia="zh-CN"/>
              </w:rPr>
            </w:pPr>
            <w:r>
              <w:rPr>
                <w:rFonts w:hint="eastAsia"/>
                <w:sz w:val="21"/>
                <w:szCs w:val="21"/>
                <w:shd w:val="clear" w:color="auto" w:fill="auto"/>
                <w:lang w:val="en-US" w:eastAsia="zh-CN"/>
              </w:rPr>
              <w:t>30.0</w:t>
            </w:r>
          </w:p>
        </w:tc>
        <w:tc>
          <w:tcPr>
            <w:tcW w:w="1134" w:type="dxa"/>
            <w:shd w:val="clear" w:color="auto" w:fill="auto"/>
            <w:vAlign w:val="center"/>
          </w:tcPr>
          <w:p w14:paraId="18E836E3">
            <w:pPr>
              <w:ind w:firstLine="420" w:firstLineChars="200"/>
              <w:rPr>
                <w:rFonts w:hint="eastAsia"/>
                <w:sz w:val="21"/>
                <w:szCs w:val="21"/>
                <w:shd w:val="clear" w:color="auto" w:fill="auto"/>
              </w:rPr>
            </w:pPr>
            <w:r>
              <w:rPr>
                <w:rFonts w:hint="eastAsia"/>
                <w:sz w:val="21"/>
                <w:szCs w:val="21"/>
                <w:shd w:val="clear" w:color="auto" w:fill="auto"/>
              </w:rPr>
              <w:t>3</w:t>
            </w:r>
          </w:p>
        </w:tc>
        <w:tc>
          <w:tcPr>
            <w:tcW w:w="1276" w:type="dxa"/>
            <w:vAlign w:val="center"/>
          </w:tcPr>
          <w:p w14:paraId="79356925">
            <w:pPr>
              <w:ind w:firstLine="210" w:firstLineChars="100"/>
              <w:rPr>
                <w:rFonts w:hint="default" w:eastAsia="宋体"/>
                <w:sz w:val="21"/>
                <w:szCs w:val="21"/>
                <w:shd w:val="clear" w:color="auto" w:fill="auto"/>
                <w:lang w:val="en-US" w:eastAsia="zh-CN"/>
              </w:rPr>
            </w:pPr>
            <w:r>
              <w:rPr>
                <w:rFonts w:hint="eastAsia"/>
                <w:sz w:val="21"/>
                <w:szCs w:val="21"/>
                <w:shd w:val="clear" w:color="auto" w:fill="auto"/>
                <w:lang w:val="en-US" w:eastAsia="zh-CN"/>
              </w:rPr>
              <w:t>10.0</w:t>
            </w:r>
          </w:p>
        </w:tc>
        <w:tc>
          <w:tcPr>
            <w:tcW w:w="1105" w:type="dxa"/>
            <w:vAlign w:val="center"/>
          </w:tcPr>
          <w:p w14:paraId="72C12A26">
            <w:pPr>
              <w:rPr>
                <w:rFonts w:hint="default" w:eastAsia="宋体"/>
                <w:sz w:val="21"/>
                <w:szCs w:val="21"/>
                <w:shd w:val="clear" w:color="auto" w:fill="auto"/>
                <w:lang w:val="en-US" w:eastAsia="zh-CN"/>
              </w:rPr>
            </w:pPr>
            <w:r>
              <w:rPr>
                <w:rFonts w:hint="eastAsia"/>
                <w:sz w:val="21"/>
                <w:szCs w:val="21"/>
                <w:shd w:val="clear" w:color="auto" w:fill="auto"/>
                <w:lang w:val="en-US" w:eastAsia="zh-CN"/>
              </w:rPr>
              <w:t>连锁餐饮服务</w:t>
            </w:r>
          </w:p>
        </w:tc>
      </w:tr>
      <w:tr w14:paraId="56F98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0" w:hRule="atLeast"/>
          <w:jc w:val="center"/>
        </w:trPr>
        <w:tc>
          <w:tcPr>
            <w:tcW w:w="2052" w:type="dxa"/>
            <w:vAlign w:val="center"/>
          </w:tcPr>
          <w:p w14:paraId="29ED24DF">
            <w:pPr>
              <w:rPr>
                <w:rFonts w:hint="default" w:eastAsia="宋体"/>
                <w:sz w:val="21"/>
                <w:szCs w:val="21"/>
                <w:shd w:val="clear" w:color="auto" w:fill="auto"/>
                <w:lang w:val="en-US" w:eastAsia="zh-CN"/>
              </w:rPr>
            </w:pPr>
            <w:r>
              <w:rPr>
                <w:rFonts w:hint="eastAsia"/>
                <w:sz w:val="21"/>
                <w:szCs w:val="21"/>
                <w:shd w:val="clear" w:color="auto" w:fill="auto"/>
                <w:lang w:val="en-US" w:eastAsia="zh-CN"/>
              </w:rPr>
              <w:t>YXZL20250035001</w:t>
            </w:r>
          </w:p>
        </w:tc>
        <w:tc>
          <w:tcPr>
            <w:tcW w:w="2253" w:type="dxa"/>
            <w:vAlign w:val="top"/>
          </w:tcPr>
          <w:p w14:paraId="50B75AB5">
            <w:pPr>
              <w:rPr>
                <w:rFonts w:hint="eastAsia"/>
                <w:sz w:val="21"/>
                <w:szCs w:val="21"/>
                <w:shd w:val="clear" w:color="auto" w:fill="auto"/>
              </w:rPr>
            </w:pPr>
            <w:r>
              <w:rPr>
                <w:rFonts w:hint="eastAsia"/>
                <w:sz w:val="21"/>
                <w:szCs w:val="21"/>
                <w:shd w:val="clear" w:color="auto" w:fill="auto"/>
                <w:lang w:val="en-US" w:eastAsia="zh-CN"/>
              </w:rPr>
              <w:t>宜兴市中医医院门诊大楼三楼部分商业房产租赁权</w:t>
            </w:r>
          </w:p>
        </w:tc>
        <w:tc>
          <w:tcPr>
            <w:tcW w:w="1134" w:type="dxa"/>
            <w:vAlign w:val="center"/>
          </w:tcPr>
          <w:p w14:paraId="7AA1C328">
            <w:pPr>
              <w:ind w:firstLine="210" w:firstLineChars="100"/>
              <w:rPr>
                <w:rFonts w:hint="default"/>
                <w:sz w:val="21"/>
                <w:szCs w:val="21"/>
                <w:shd w:val="clear" w:color="auto" w:fill="auto"/>
                <w:lang w:val="en-US"/>
              </w:rPr>
            </w:pPr>
            <w:r>
              <w:rPr>
                <w:rFonts w:hint="eastAsia"/>
                <w:sz w:val="21"/>
                <w:szCs w:val="21"/>
                <w:shd w:val="clear" w:color="auto" w:fill="auto"/>
                <w:lang w:val="en-US" w:eastAsia="zh-CN"/>
              </w:rPr>
              <w:t>60.0</w:t>
            </w:r>
          </w:p>
        </w:tc>
        <w:tc>
          <w:tcPr>
            <w:tcW w:w="1134" w:type="dxa"/>
            <w:shd w:val="clear" w:color="auto" w:fill="auto"/>
            <w:vAlign w:val="center"/>
          </w:tcPr>
          <w:p w14:paraId="4F8ADA8C">
            <w:pPr>
              <w:ind w:firstLine="420" w:firstLineChars="200"/>
              <w:rPr>
                <w:rFonts w:hint="eastAsia"/>
                <w:sz w:val="21"/>
                <w:szCs w:val="21"/>
                <w:shd w:val="clear" w:color="auto" w:fill="auto"/>
              </w:rPr>
            </w:pPr>
            <w:r>
              <w:rPr>
                <w:rFonts w:hint="eastAsia"/>
                <w:sz w:val="21"/>
                <w:szCs w:val="21"/>
                <w:shd w:val="clear" w:color="auto" w:fill="auto"/>
                <w:lang w:val="en-US" w:eastAsia="zh-CN"/>
              </w:rPr>
              <w:t>3</w:t>
            </w:r>
          </w:p>
        </w:tc>
        <w:tc>
          <w:tcPr>
            <w:tcW w:w="1276" w:type="dxa"/>
            <w:vAlign w:val="center"/>
          </w:tcPr>
          <w:p w14:paraId="4A474CBC">
            <w:pPr>
              <w:ind w:firstLine="210" w:firstLineChars="100"/>
              <w:rPr>
                <w:rFonts w:hint="default"/>
                <w:sz w:val="21"/>
                <w:szCs w:val="21"/>
                <w:shd w:val="clear" w:color="auto" w:fill="auto"/>
                <w:lang w:val="en-US"/>
              </w:rPr>
            </w:pPr>
            <w:r>
              <w:rPr>
                <w:rFonts w:hint="eastAsia"/>
                <w:sz w:val="21"/>
                <w:szCs w:val="21"/>
                <w:shd w:val="clear" w:color="auto" w:fill="auto"/>
                <w:lang w:val="en-US" w:eastAsia="zh-CN"/>
              </w:rPr>
              <w:t>25.0</w:t>
            </w:r>
          </w:p>
        </w:tc>
        <w:tc>
          <w:tcPr>
            <w:tcW w:w="1105" w:type="dxa"/>
            <w:vAlign w:val="center"/>
          </w:tcPr>
          <w:p w14:paraId="52B05B27">
            <w:pPr>
              <w:rPr>
                <w:rFonts w:hint="default"/>
                <w:sz w:val="21"/>
                <w:szCs w:val="21"/>
                <w:shd w:val="clear" w:color="auto" w:fill="auto"/>
                <w:lang w:val="en-US"/>
              </w:rPr>
            </w:pPr>
            <w:r>
              <w:rPr>
                <w:rFonts w:hint="eastAsia"/>
                <w:sz w:val="21"/>
                <w:szCs w:val="21"/>
                <w:shd w:val="clear" w:color="auto" w:fill="auto"/>
                <w:lang w:val="en-US" w:eastAsia="zh-CN"/>
              </w:rPr>
              <w:t>视光中心</w:t>
            </w:r>
          </w:p>
        </w:tc>
      </w:tr>
      <w:bookmarkEnd w:id="0"/>
      <w:bookmarkEnd w:id="2"/>
    </w:tbl>
    <w:p w14:paraId="4E3AFDB5">
      <w:pPr>
        <w:pStyle w:val="6"/>
        <w:widowControl w:val="0"/>
        <w:spacing w:before="0" w:beforeAutospacing="0" w:after="0" w:afterAutospacing="0" w:line="420" w:lineRule="exact"/>
        <w:ind w:firstLine="560" w:firstLineChars="200"/>
        <w:rPr>
          <w:rFonts w:cs="宋体" w:asciiTheme="minorEastAsia" w:hAnsiTheme="minorEastAsia"/>
          <w:sz w:val="28"/>
          <w:szCs w:val="28"/>
        </w:rPr>
      </w:pPr>
      <w:r>
        <w:rPr>
          <w:rFonts w:hint="eastAsia"/>
          <w:sz w:val="28"/>
          <w:szCs w:val="28"/>
          <w:shd w:val="clear" w:color="auto" w:fill="auto"/>
          <w:lang w:val="en-US" w:eastAsia="zh-CN"/>
        </w:rPr>
        <w:t>第</w:t>
      </w:r>
      <w:r>
        <w:rPr>
          <w:rFonts w:hint="eastAsia"/>
          <w:sz w:val="28"/>
          <w:szCs w:val="28"/>
          <w:shd w:val="clear" w:color="auto" w:fill="auto"/>
        </w:rPr>
        <w:t>二</w:t>
      </w:r>
      <w:r>
        <w:rPr>
          <w:rFonts w:hint="eastAsia"/>
          <w:sz w:val="28"/>
          <w:szCs w:val="28"/>
          <w:shd w:val="clear" w:color="auto" w:fill="auto"/>
          <w:lang w:val="en-US" w:eastAsia="zh-CN"/>
        </w:rPr>
        <w:t xml:space="preserve">条 </w:t>
      </w:r>
      <w:r>
        <w:rPr>
          <w:rFonts w:hint="eastAsia"/>
          <w:sz w:val="28"/>
          <w:szCs w:val="28"/>
          <w:shd w:val="clear" w:color="auto" w:fill="auto"/>
        </w:rPr>
        <w:t>拍卖时间及地点</w:t>
      </w:r>
      <w:bookmarkEnd w:id="1"/>
    </w:p>
    <w:p w14:paraId="02787D13">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1、拍卖时间：202</w:t>
      </w:r>
      <w:r>
        <w:rPr>
          <w:rFonts w:hint="eastAsia" w:cs="宋体" w:asciiTheme="minorEastAsia" w:hAnsiTheme="minorEastAsia"/>
          <w:sz w:val="28"/>
          <w:szCs w:val="28"/>
          <w:lang w:val="en-US" w:eastAsia="zh-CN"/>
        </w:rPr>
        <w:t>5</w:t>
      </w:r>
      <w:r>
        <w:rPr>
          <w:rFonts w:hint="eastAsia" w:cs="宋体" w:asciiTheme="minorEastAsia" w:hAnsiTheme="minorEastAsia"/>
          <w:sz w:val="28"/>
          <w:szCs w:val="28"/>
        </w:rPr>
        <w:t>年</w:t>
      </w:r>
      <w:r>
        <w:rPr>
          <w:rFonts w:hint="eastAsia" w:cs="宋体" w:asciiTheme="minorEastAsia" w:hAnsiTheme="minorEastAsia"/>
          <w:sz w:val="28"/>
          <w:szCs w:val="28"/>
          <w:lang w:val="en-US" w:eastAsia="zh-CN"/>
        </w:rPr>
        <w:t>9</w:t>
      </w:r>
      <w:r>
        <w:rPr>
          <w:rFonts w:hint="eastAsia" w:cs="宋体" w:asciiTheme="minorEastAsia" w:hAnsiTheme="minorEastAsia"/>
          <w:sz w:val="28"/>
          <w:szCs w:val="28"/>
        </w:rPr>
        <w:t>月</w:t>
      </w:r>
      <w:r>
        <w:rPr>
          <w:rFonts w:hint="eastAsia" w:cs="宋体" w:asciiTheme="minorEastAsia" w:hAnsiTheme="minorEastAsia"/>
          <w:sz w:val="28"/>
          <w:szCs w:val="28"/>
          <w:lang w:val="en-US" w:eastAsia="zh-CN"/>
        </w:rPr>
        <w:t>19</w:t>
      </w:r>
      <w:r>
        <w:rPr>
          <w:rFonts w:hint="eastAsia" w:cs="宋体" w:asciiTheme="minorEastAsia" w:hAnsiTheme="minorEastAsia"/>
          <w:sz w:val="28"/>
          <w:szCs w:val="28"/>
        </w:rPr>
        <w:t xml:space="preserve">日上午 9:00。                </w:t>
      </w:r>
    </w:p>
    <w:p w14:paraId="6118C679">
      <w:pPr>
        <w:spacing w:line="460" w:lineRule="exact"/>
        <w:ind w:firstLine="560" w:firstLineChars="200"/>
        <w:rPr>
          <w:rFonts w:cs="宋体" w:asciiTheme="minorEastAsia" w:hAnsiTheme="minorEastAsia"/>
          <w:sz w:val="28"/>
          <w:szCs w:val="28"/>
        </w:rPr>
      </w:pPr>
      <w:r>
        <w:rPr>
          <w:rFonts w:cs="宋体" w:asciiTheme="minorEastAsia" w:hAnsiTheme="minorEastAsia"/>
          <w:sz w:val="28"/>
          <w:szCs w:val="28"/>
        </w:rPr>
        <w:t>2</w:t>
      </w:r>
      <w:r>
        <w:rPr>
          <w:rFonts w:hint="eastAsia" w:cs="宋体" w:asciiTheme="minorEastAsia" w:hAnsiTheme="minorEastAsia"/>
          <w:sz w:val="28"/>
          <w:szCs w:val="28"/>
        </w:rPr>
        <w:t>、拍卖地点：宜兴市公共资源交易中心二楼6号开标室</w:t>
      </w:r>
      <w:bookmarkStart w:id="3" w:name="_Hlk154153367"/>
      <w:r>
        <w:rPr>
          <w:rFonts w:hint="eastAsia" w:cs="宋体" w:asciiTheme="minorEastAsia" w:hAnsiTheme="minorEastAsia"/>
          <w:sz w:val="28"/>
          <w:szCs w:val="28"/>
        </w:rPr>
        <w:t>(宜兴市陶都路125号)</w:t>
      </w:r>
      <w:bookmarkEnd w:id="3"/>
    </w:p>
    <w:p w14:paraId="0FD1BC0A">
      <w:pPr>
        <w:spacing w:line="460" w:lineRule="exact"/>
        <w:ind w:firstLine="560" w:firstLineChars="200"/>
        <w:rPr>
          <w:rFonts w:cs="宋体" w:asciiTheme="minorEastAsia" w:hAnsiTheme="minorEastAsia"/>
          <w:b/>
          <w:bCs/>
          <w:sz w:val="28"/>
          <w:szCs w:val="28"/>
        </w:rPr>
      </w:pPr>
      <w:r>
        <w:rPr>
          <w:rFonts w:hint="eastAsia" w:cs="宋体" w:asciiTheme="minorEastAsia" w:hAnsiTheme="minorEastAsia"/>
          <w:sz w:val="28"/>
          <w:szCs w:val="28"/>
        </w:rPr>
        <w:t>第三条 拍卖报名</w:t>
      </w:r>
    </w:p>
    <w:p w14:paraId="64DDAC1B">
      <w:pPr>
        <w:pStyle w:val="6"/>
        <w:shd w:val="clear" w:color="auto" w:fill="FFFFFF"/>
        <w:spacing w:beforeAutospacing="0" w:afterAutospacing="0" w:line="460" w:lineRule="exact"/>
        <w:ind w:firstLine="420"/>
        <w:jc w:val="both"/>
        <w:rPr>
          <w:rFonts w:asciiTheme="minorEastAsia" w:hAnsiTheme="minorEastAsia"/>
          <w:color w:val="333333"/>
          <w:sz w:val="28"/>
          <w:szCs w:val="28"/>
        </w:rPr>
      </w:pPr>
      <w:r>
        <w:rPr>
          <w:rFonts w:hint="eastAsia" w:cs="宋体" w:asciiTheme="minorEastAsia" w:hAnsiTheme="minorEastAsia"/>
          <w:color w:val="333333"/>
          <w:sz w:val="28"/>
          <w:szCs w:val="28"/>
          <w:shd w:val="clear" w:color="auto" w:fill="FFFFFF"/>
        </w:rPr>
        <w:t>1、</w:t>
      </w:r>
      <w:bookmarkStart w:id="4" w:name="_Hlk154154618"/>
      <w:r>
        <w:rPr>
          <w:rFonts w:hint="eastAsia" w:cs="宋体" w:asciiTheme="minorEastAsia" w:hAnsiTheme="minorEastAsia"/>
          <w:color w:val="333333"/>
          <w:sz w:val="28"/>
          <w:szCs w:val="28"/>
          <w:shd w:val="clear" w:color="auto" w:fill="FFFFFF"/>
        </w:rPr>
        <w:t>报名</w:t>
      </w:r>
      <w:r>
        <w:rPr>
          <w:rFonts w:hint="eastAsia" w:asciiTheme="minorEastAsia" w:hAnsiTheme="minorEastAsia"/>
          <w:color w:val="333333"/>
          <w:sz w:val="28"/>
          <w:szCs w:val="28"/>
          <w:shd w:val="clear" w:color="auto" w:fill="FFFFFF"/>
        </w:rPr>
        <w:t>截止</w:t>
      </w:r>
      <w:r>
        <w:rPr>
          <w:rFonts w:hint="eastAsia" w:cs="宋体" w:asciiTheme="minorEastAsia" w:hAnsiTheme="minorEastAsia"/>
          <w:color w:val="333333"/>
          <w:sz w:val="28"/>
          <w:szCs w:val="28"/>
          <w:shd w:val="clear" w:color="auto" w:fill="FFFFFF"/>
        </w:rPr>
        <w:t>时间</w:t>
      </w:r>
      <w:bookmarkEnd w:id="4"/>
      <w:r>
        <w:rPr>
          <w:rFonts w:hint="eastAsia" w:cs="宋体" w:asciiTheme="minorEastAsia" w:hAnsiTheme="minorEastAsia"/>
          <w:color w:val="333333"/>
          <w:sz w:val="28"/>
          <w:szCs w:val="28"/>
          <w:shd w:val="clear" w:color="auto" w:fill="FFFFFF"/>
        </w:rPr>
        <w:t>：</w:t>
      </w:r>
      <w:r>
        <w:rPr>
          <w:rFonts w:hint="eastAsia" w:asciiTheme="minorEastAsia" w:hAnsiTheme="minorEastAsia"/>
          <w:color w:val="FF0000"/>
          <w:sz w:val="28"/>
          <w:szCs w:val="28"/>
          <w:shd w:val="clear" w:color="auto" w:fill="FFFFFF"/>
        </w:rPr>
        <w:t xml:space="preserve"> </w:t>
      </w:r>
      <w:bookmarkStart w:id="5" w:name="_Hlk154154629"/>
      <w:r>
        <w:rPr>
          <w:rFonts w:hint="eastAsia" w:cs="宋体" w:asciiTheme="minorEastAsia" w:hAnsiTheme="minorEastAsia"/>
          <w:sz w:val="28"/>
          <w:szCs w:val="28"/>
          <w:shd w:val="clear" w:color="auto" w:fill="FFFFFF"/>
        </w:rPr>
        <w:t>202</w:t>
      </w:r>
      <w:r>
        <w:rPr>
          <w:rFonts w:hint="eastAsia" w:cs="宋体" w:asciiTheme="minorEastAsia" w:hAnsiTheme="minorEastAsia"/>
          <w:sz w:val="28"/>
          <w:szCs w:val="28"/>
          <w:shd w:val="clear" w:color="auto" w:fill="FFFFFF"/>
          <w:lang w:val="en-US" w:eastAsia="zh-CN"/>
        </w:rPr>
        <w:t>5</w:t>
      </w:r>
      <w:r>
        <w:rPr>
          <w:rFonts w:hint="eastAsia" w:cs="宋体" w:asciiTheme="minorEastAsia" w:hAnsiTheme="minorEastAsia"/>
          <w:sz w:val="28"/>
          <w:szCs w:val="28"/>
          <w:shd w:val="clear" w:color="auto" w:fill="FFFFFF"/>
        </w:rPr>
        <w:t xml:space="preserve">年 </w:t>
      </w:r>
      <w:r>
        <w:rPr>
          <w:rFonts w:hint="eastAsia" w:cs="宋体" w:asciiTheme="minorEastAsia" w:hAnsiTheme="minorEastAsia"/>
          <w:sz w:val="28"/>
          <w:szCs w:val="28"/>
          <w:shd w:val="clear" w:color="auto" w:fill="FFFFFF"/>
          <w:lang w:val="en-US" w:eastAsia="zh-CN"/>
        </w:rPr>
        <w:t>9</w:t>
      </w:r>
      <w:r>
        <w:rPr>
          <w:rFonts w:hint="eastAsia" w:cs="宋体" w:asciiTheme="minorEastAsia" w:hAnsiTheme="minorEastAsia"/>
          <w:sz w:val="28"/>
          <w:szCs w:val="28"/>
          <w:shd w:val="clear" w:color="auto" w:fill="FFFFFF"/>
        </w:rPr>
        <w:t>月</w:t>
      </w:r>
      <w:r>
        <w:rPr>
          <w:rFonts w:hint="eastAsia" w:cs="宋体" w:asciiTheme="minorEastAsia" w:hAnsiTheme="minorEastAsia"/>
          <w:sz w:val="28"/>
          <w:szCs w:val="28"/>
          <w:shd w:val="clear" w:color="auto" w:fill="FFFFFF"/>
          <w:lang w:val="en-US" w:eastAsia="zh-CN"/>
        </w:rPr>
        <w:t>18</w:t>
      </w:r>
      <w:r>
        <w:rPr>
          <w:rFonts w:hint="eastAsia" w:cs="宋体" w:asciiTheme="minorEastAsia" w:hAnsiTheme="minorEastAsia"/>
          <w:sz w:val="28"/>
          <w:szCs w:val="28"/>
          <w:shd w:val="clear" w:color="auto" w:fill="FFFFFF"/>
        </w:rPr>
        <w:t>日</w:t>
      </w:r>
      <w:bookmarkEnd w:id="5"/>
      <w:r>
        <w:rPr>
          <w:rFonts w:hint="eastAsia" w:cs="宋体" w:asciiTheme="minorEastAsia" w:hAnsiTheme="minorEastAsia"/>
          <w:color w:val="333333"/>
          <w:sz w:val="28"/>
          <w:szCs w:val="28"/>
          <w:shd w:val="clear" w:color="auto" w:fill="FFFFFF"/>
        </w:rPr>
        <w:t>16时30分</w:t>
      </w:r>
    </w:p>
    <w:p w14:paraId="3D022BC6">
      <w:pPr>
        <w:pStyle w:val="6"/>
        <w:shd w:val="clear" w:color="auto" w:fill="FFFFFF"/>
        <w:spacing w:beforeAutospacing="0" w:afterAutospacing="0" w:line="460" w:lineRule="exact"/>
        <w:ind w:firstLine="420"/>
        <w:jc w:val="both"/>
        <w:rPr>
          <w:rFonts w:asciiTheme="minorEastAsia" w:hAnsiTheme="minorEastAsia"/>
          <w:color w:val="333333"/>
          <w:sz w:val="28"/>
          <w:szCs w:val="28"/>
        </w:rPr>
      </w:pPr>
      <w:r>
        <w:rPr>
          <w:rFonts w:hint="eastAsia" w:cs="宋体" w:asciiTheme="minorEastAsia" w:hAnsiTheme="minorEastAsia"/>
          <w:color w:val="333333"/>
          <w:sz w:val="28"/>
          <w:szCs w:val="28"/>
          <w:shd w:val="clear" w:color="auto" w:fill="FFFFFF"/>
        </w:rPr>
        <w:t>2、</w:t>
      </w:r>
      <w:bookmarkStart w:id="6" w:name="_Hlk154154819"/>
      <w:r>
        <w:rPr>
          <w:rFonts w:hint="eastAsia" w:cs="宋体" w:asciiTheme="minorEastAsia" w:hAnsiTheme="minorEastAsia"/>
          <w:color w:val="333333"/>
          <w:sz w:val="28"/>
          <w:szCs w:val="28"/>
          <w:shd w:val="clear" w:color="auto" w:fill="FFFFFF"/>
        </w:rPr>
        <w:t>报名程序及注意事项</w:t>
      </w:r>
      <w:bookmarkEnd w:id="6"/>
      <w:r>
        <w:rPr>
          <w:rFonts w:hint="eastAsia" w:cs="宋体" w:asciiTheme="minorEastAsia" w:hAnsiTheme="minorEastAsia"/>
          <w:color w:val="333333"/>
          <w:sz w:val="28"/>
          <w:szCs w:val="28"/>
          <w:shd w:val="clear" w:color="auto" w:fill="FFFFFF"/>
        </w:rPr>
        <w:t>：</w:t>
      </w:r>
    </w:p>
    <w:p w14:paraId="61811C66">
      <w:pPr>
        <w:pStyle w:val="6"/>
        <w:shd w:val="clear" w:color="auto" w:fill="FFFFFF"/>
        <w:spacing w:beforeAutospacing="0" w:afterAutospacing="0" w:line="460" w:lineRule="exact"/>
        <w:ind w:firstLine="481"/>
        <w:rPr>
          <w:rFonts w:asciiTheme="minorEastAsia" w:hAnsiTheme="minorEastAsia"/>
          <w:color w:val="333333"/>
          <w:sz w:val="28"/>
          <w:szCs w:val="28"/>
          <w:shd w:val="clear" w:color="auto" w:fill="FFFFFF"/>
        </w:rPr>
      </w:pPr>
      <w:r>
        <w:rPr>
          <w:rFonts w:hint="eastAsia" w:cs="宋体" w:asciiTheme="minorEastAsia" w:hAnsiTheme="minorEastAsia"/>
          <w:color w:val="333333"/>
          <w:sz w:val="28"/>
          <w:szCs w:val="28"/>
          <w:shd w:val="clear" w:color="auto" w:fill="FFFFFF"/>
        </w:rPr>
        <w:t>（1）</w:t>
      </w:r>
      <w:r>
        <w:rPr>
          <w:rFonts w:hint="eastAsia" w:asciiTheme="minorEastAsia" w:hAnsiTheme="minorEastAsia"/>
          <w:b/>
          <w:bCs/>
          <w:color w:val="333333"/>
          <w:sz w:val="28"/>
          <w:szCs w:val="28"/>
          <w:shd w:val="clear" w:color="auto" w:fill="FFFFFF"/>
        </w:rPr>
        <w:t>注册会员</w:t>
      </w:r>
      <w:r>
        <w:rPr>
          <w:rFonts w:hint="eastAsia" w:asciiTheme="minorEastAsia" w:hAnsiTheme="minorEastAsia"/>
          <w:color w:val="333333"/>
          <w:sz w:val="28"/>
          <w:szCs w:val="28"/>
          <w:shd w:val="clear" w:color="auto" w:fill="FFFFFF"/>
        </w:rPr>
        <w:t>：</w:t>
      </w:r>
      <w:r>
        <w:rPr>
          <w:rFonts w:hint="eastAsia" w:cs="宋体" w:asciiTheme="minorEastAsia" w:hAnsiTheme="minorEastAsia"/>
          <w:color w:val="333333"/>
          <w:sz w:val="28"/>
          <w:szCs w:val="28"/>
          <w:shd w:val="clear" w:color="auto" w:fill="FFFFFF"/>
        </w:rPr>
        <w:t>竞买人应在</w:t>
      </w:r>
      <w:r>
        <w:rPr>
          <w:rFonts w:hint="eastAsia" w:asciiTheme="minorEastAsia" w:hAnsiTheme="minorEastAsia"/>
          <w:sz w:val="28"/>
          <w:szCs w:val="28"/>
          <w:shd w:val="clear" w:color="auto" w:fill="FFFFFF"/>
        </w:rPr>
        <w:t>报名截止时间</w:t>
      </w:r>
      <w:r>
        <w:rPr>
          <w:rFonts w:hint="eastAsia" w:cs="宋体" w:asciiTheme="minorEastAsia" w:hAnsiTheme="minorEastAsia"/>
          <w:color w:val="333333"/>
          <w:sz w:val="28"/>
          <w:szCs w:val="28"/>
          <w:shd w:val="clear" w:color="auto" w:fill="FFFFFF"/>
        </w:rPr>
        <w:t>前</w:t>
      </w:r>
      <w:r>
        <w:rPr>
          <w:rFonts w:hint="eastAsia" w:asciiTheme="minorEastAsia" w:hAnsiTheme="minorEastAsia"/>
          <w:color w:val="333333"/>
          <w:sz w:val="28"/>
          <w:szCs w:val="28"/>
          <w:shd w:val="clear" w:color="auto" w:fill="FFFFFF"/>
        </w:rPr>
        <w:t>登录宜兴市公共资源交易系统</w:t>
      </w:r>
      <w:r>
        <w:rPr>
          <w:rFonts w:hint="eastAsia" w:cs="宋体" w:asciiTheme="minorEastAsia" w:hAnsiTheme="minorEastAsia"/>
          <w:color w:val="333333"/>
          <w:sz w:val="28"/>
          <w:szCs w:val="28"/>
          <w:shd w:val="clear" w:color="auto" w:fill="FFFFFF"/>
        </w:rPr>
        <w:t>，进行实名会员注册（注册信息须真实、完整、准确）</w:t>
      </w:r>
      <w:r>
        <w:rPr>
          <w:rFonts w:hint="eastAsia" w:asciiTheme="minorEastAsia" w:hAnsiTheme="minorEastAsia"/>
          <w:color w:val="333333"/>
          <w:sz w:val="28"/>
          <w:szCs w:val="28"/>
          <w:shd w:val="clear" w:color="auto" w:fill="FFFFFF"/>
        </w:rPr>
        <w:t>；注册信息</w:t>
      </w:r>
      <w:r>
        <w:rPr>
          <w:rFonts w:hint="eastAsia" w:cs="宋体" w:asciiTheme="minorEastAsia" w:hAnsiTheme="minorEastAsia"/>
          <w:color w:val="333333"/>
          <w:sz w:val="28"/>
          <w:szCs w:val="28"/>
          <w:shd w:val="clear" w:color="auto" w:fill="FFFFFF"/>
        </w:rPr>
        <w:t>经交易中心审核通过后，竞买人</w:t>
      </w:r>
      <w:r>
        <w:rPr>
          <w:rFonts w:hint="eastAsia" w:asciiTheme="minorEastAsia" w:hAnsiTheme="minorEastAsia"/>
          <w:color w:val="333333"/>
          <w:sz w:val="28"/>
          <w:szCs w:val="28"/>
          <w:shd w:val="clear" w:color="auto" w:fill="FFFFFF"/>
        </w:rPr>
        <w:t>即可</w:t>
      </w:r>
      <w:r>
        <w:rPr>
          <w:rFonts w:hint="eastAsia" w:cs="宋体" w:asciiTheme="minorEastAsia" w:hAnsiTheme="minorEastAsia"/>
          <w:color w:val="333333"/>
          <w:sz w:val="28"/>
          <w:szCs w:val="28"/>
          <w:shd w:val="clear" w:color="auto" w:fill="FFFFFF"/>
        </w:rPr>
        <w:t>进行报名。</w:t>
      </w:r>
    </w:p>
    <w:p w14:paraId="60080B62">
      <w:pPr>
        <w:pStyle w:val="6"/>
        <w:shd w:val="clear" w:color="auto" w:fill="FFFFFF"/>
        <w:spacing w:beforeAutospacing="0" w:afterAutospacing="0" w:line="460" w:lineRule="exact"/>
        <w:ind w:firstLine="481"/>
        <w:jc w:val="both"/>
        <w:rPr>
          <w:rFonts w:asciiTheme="minorEastAsia" w:hAnsiTheme="minorEastAsia"/>
          <w:color w:val="333333"/>
          <w:sz w:val="28"/>
          <w:szCs w:val="28"/>
          <w:highlight w:val="yellow"/>
          <w:shd w:val="clear" w:color="auto" w:fill="FFFFFF"/>
        </w:rPr>
      </w:pPr>
      <w:r>
        <w:rPr>
          <w:rFonts w:hint="eastAsia" w:cs="宋体" w:asciiTheme="minorEastAsia" w:hAnsiTheme="minorEastAsia"/>
          <w:color w:val="333333"/>
          <w:sz w:val="28"/>
          <w:szCs w:val="28"/>
          <w:shd w:val="clear" w:color="auto" w:fill="FFFFFF"/>
        </w:rPr>
        <w:t>（2）</w:t>
      </w:r>
      <w:r>
        <w:rPr>
          <w:rFonts w:hint="eastAsia" w:asciiTheme="minorEastAsia" w:hAnsiTheme="minorEastAsia"/>
          <w:b/>
          <w:bCs/>
          <w:color w:val="333333"/>
          <w:sz w:val="28"/>
          <w:szCs w:val="28"/>
          <w:shd w:val="clear" w:color="auto" w:fill="FFFFFF"/>
        </w:rPr>
        <w:t>交纳保证金</w:t>
      </w:r>
      <w:r>
        <w:rPr>
          <w:rFonts w:hint="eastAsia" w:asciiTheme="minorEastAsia" w:hAnsiTheme="minorEastAsia"/>
          <w:color w:val="333333"/>
          <w:sz w:val="28"/>
          <w:szCs w:val="28"/>
          <w:shd w:val="clear" w:color="auto" w:fill="FFFFFF"/>
        </w:rPr>
        <w:t>：</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700"/>
        <w:gridCol w:w="5685"/>
      </w:tblGrid>
      <w:tr w14:paraId="7A8D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83" w:type="dxa"/>
            <w:vAlign w:val="center"/>
          </w:tcPr>
          <w:p w14:paraId="1536825A">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color w:val="333333"/>
                <w:shd w:val="clear" w:color="auto" w:fill="FFFFFF"/>
              </w:rPr>
              <w:t>序号</w:t>
            </w:r>
          </w:p>
        </w:tc>
        <w:tc>
          <w:tcPr>
            <w:tcW w:w="1700" w:type="dxa"/>
            <w:vAlign w:val="center"/>
          </w:tcPr>
          <w:p w14:paraId="016E07DA">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color w:val="333333"/>
                <w:shd w:val="clear" w:color="auto" w:fill="FFFFFF"/>
              </w:rPr>
              <w:t>拍卖保证金</w:t>
            </w:r>
          </w:p>
        </w:tc>
        <w:tc>
          <w:tcPr>
            <w:tcW w:w="5685" w:type="dxa"/>
            <w:vAlign w:val="center"/>
          </w:tcPr>
          <w:p w14:paraId="53BC2ADB">
            <w:pPr>
              <w:pStyle w:val="6"/>
              <w:spacing w:beforeAutospacing="0" w:afterAutospacing="0"/>
              <w:ind w:firstLine="480"/>
              <w:jc w:val="center"/>
              <w:rPr>
                <w:rFonts w:hint="eastAsia" w:ascii="宋体" w:hAnsi="宋体" w:eastAsia="宋体" w:cs="宋体"/>
                <w:color w:val="333333"/>
                <w:shd w:val="clear" w:color="auto" w:fill="FFFFFF"/>
              </w:rPr>
            </w:pPr>
            <w:r>
              <w:rPr>
                <w:rFonts w:hint="eastAsia" w:ascii="宋体" w:hAnsi="宋体" w:eastAsia="宋体" w:cs="宋体"/>
                <w:color w:val="333333"/>
                <w:shd w:val="clear" w:color="auto" w:fill="FFFFFF"/>
              </w:rPr>
              <w:t>内容</w:t>
            </w:r>
          </w:p>
        </w:tc>
      </w:tr>
      <w:tr w14:paraId="259F0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83" w:type="dxa"/>
            <w:vAlign w:val="center"/>
          </w:tcPr>
          <w:p w14:paraId="5519467C">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color w:val="333333"/>
                <w:shd w:val="clear" w:color="auto" w:fill="FFFFFF"/>
              </w:rPr>
              <w:t>1</w:t>
            </w:r>
          </w:p>
        </w:tc>
        <w:tc>
          <w:tcPr>
            <w:tcW w:w="1700" w:type="dxa"/>
            <w:vAlign w:val="center"/>
          </w:tcPr>
          <w:p w14:paraId="3C8031A1">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color w:val="333333"/>
                <w:shd w:val="clear" w:color="auto" w:fill="FFFFFF"/>
              </w:rPr>
              <w:t>交纳金额</w:t>
            </w:r>
          </w:p>
        </w:tc>
        <w:tc>
          <w:tcPr>
            <w:tcW w:w="5685" w:type="dxa"/>
            <w:vAlign w:val="center"/>
          </w:tcPr>
          <w:p w14:paraId="2046BDF1">
            <w:pPr>
              <w:pStyle w:val="6"/>
              <w:spacing w:beforeAutospacing="0" w:afterAutospacing="0"/>
              <w:jc w:val="both"/>
              <w:rPr>
                <w:rFonts w:hint="eastAsia" w:ascii="宋体" w:hAnsi="宋体" w:eastAsia="宋体" w:cs="宋体"/>
                <w:color w:val="333333"/>
                <w:shd w:val="clear" w:color="auto" w:fill="FFFFFF"/>
              </w:rPr>
            </w:pPr>
            <w:r>
              <w:rPr>
                <w:rFonts w:hint="eastAsia" w:ascii="宋体" w:hAnsi="宋体" w:eastAsia="宋体" w:cs="宋体"/>
              </w:rPr>
              <w:t>详见电子化交易系统各标的保证金子账号信息</w:t>
            </w:r>
          </w:p>
        </w:tc>
      </w:tr>
      <w:tr w14:paraId="4A224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83" w:type="dxa"/>
            <w:vAlign w:val="center"/>
          </w:tcPr>
          <w:p w14:paraId="00A45959">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color w:val="333333"/>
                <w:shd w:val="clear" w:color="auto" w:fill="FFFFFF"/>
              </w:rPr>
              <w:t>2</w:t>
            </w:r>
          </w:p>
        </w:tc>
        <w:tc>
          <w:tcPr>
            <w:tcW w:w="1700" w:type="dxa"/>
            <w:vAlign w:val="center"/>
          </w:tcPr>
          <w:p w14:paraId="6C170109">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rPr>
              <w:t>交纳形式</w:t>
            </w:r>
          </w:p>
        </w:tc>
        <w:tc>
          <w:tcPr>
            <w:tcW w:w="5685" w:type="dxa"/>
            <w:vAlign w:val="center"/>
          </w:tcPr>
          <w:p w14:paraId="18FEF923">
            <w:pPr>
              <w:pStyle w:val="6"/>
              <w:spacing w:beforeAutospacing="0" w:afterAutospacing="0"/>
              <w:jc w:val="both"/>
              <w:rPr>
                <w:rFonts w:hint="eastAsia" w:ascii="宋体" w:hAnsi="宋体" w:eastAsia="宋体" w:cs="宋体"/>
                <w:color w:val="333333"/>
                <w:shd w:val="clear" w:color="auto" w:fill="FFFFFF"/>
              </w:rPr>
            </w:pPr>
            <w:r>
              <w:rPr>
                <w:rFonts w:hint="eastAsia" w:ascii="宋体" w:hAnsi="宋体" w:eastAsia="宋体" w:cs="宋体"/>
              </w:rPr>
              <w:t>电汇方式，竞买人须在报名截止时间前从诚信库备案的基本账户或个人账户汇到本标的保证金子账号中</w:t>
            </w:r>
          </w:p>
        </w:tc>
      </w:tr>
      <w:tr w14:paraId="6E18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83" w:type="dxa"/>
            <w:vAlign w:val="center"/>
          </w:tcPr>
          <w:p w14:paraId="43A217BA">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color w:val="333333"/>
                <w:shd w:val="clear" w:color="auto" w:fill="FFFFFF"/>
              </w:rPr>
              <w:t>3</w:t>
            </w:r>
          </w:p>
        </w:tc>
        <w:tc>
          <w:tcPr>
            <w:tcW w:w="1700" w:type="dxa"/>
            <w:vAlign w:val="center"/>
          </w:tcPr>
          <w:p w14:paraId="7852E645">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rPr>
              <w:t>账户名称</w:t>
            </w:r>
          </w:p>
        </w:tc>
        <w:tc>
          <w:tcPr>
            <w:tcW w:w="5685" w:type="dxa"/>
            <w:vAlign w:val="center"/>
          </w:tcPr>
          <w:p w14:paraId="6A9C604E">
            <w:pPr>
              <w:pStyle w:val="6"/>
              <w:spacing w:beforeAutospacing="0" w:afterAutospacing="0"/>
              <w:jc w:val="both"/>
              <w:rPr>
                <w:rFonts w:hint="eastAsia" w:ascii="宋体" w:hAnsi="宋体" w:eastAsia="宋体" w:cs="宋体"/>
                <w:color w:val="333333"/>
                <w:shd w:val="clear" w:color="auto" w:fill="FFFFFF"/>
              </w:rPr>
            </w:pPr>
            <w:r>
              <w:rPr>
                <w:rFonts w:hint="eastAsia" w:ascii="宋体" w:hAnsi="宋体" w:eastAsia="宋体" w:cs="宋体"/>
              </w:rPr>
              <w:t>宜兴市公共资源交易中心</w:t>
            </w:r>
          </w:p>
        </w:tc>
      </w:tr>
      <w:tr w14:paraId="7126B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83" w:type="dxa"/>
            <w:vAlign w:val="center"/>
          </w:tcPr>
          <w:p w14:paraId="6EFEB2E7">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color w:val="333333"/>
                <w:shd w:val="clear" w:color="auto" w:fill="FFFFFF"/>
              </w:rPr>
              <w:t>4</w:t>
            </w:r>
          </w:p>
        </w:tc>
        <w:tc>
          <w:tcPr>
            <w:tcW w:w="1700" w:type="dxa"/>
            <w:vAlign w:val="center"/>
          </w:tcPr>
          <w:p w14:paraId="3A7013FD">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rPr>
              <w:t>开户银行</w:t>
            </w:r>
          </w:p>
        </w:tc>
        <w:tc>
          <w:tcPr>
            <w:tcW w:w="5685" w:type="dxa"/>
            <w:vAlign w:val="center"/>
          </w:tcPr>
          <w:p w14:paraId="1640B1BA">
            <w:pPr>
              <w:pStyle w:val="6"/>
              <w:spacing w:beforeAutospacing="0" w:afterAutospacing="0"/>
              <w:jc w:val="both"/>
              <w:rPr>
                <w:rFonts w:hint="eastAsia" w:ascii="宋体" w:hAnsi="宋体" w:eastAsia="宋体" w:cs="宋体"/>
                <w:color w:val="333333"/>
                <w:shd w:val="clear" w:color="auto" w:fill="FFFFFF"/>
              </w:rPr>
            </w:pPr>
            <w:r>
              <w:rPr>
                <w:rFonts w:hint="eastAsia" w:ascii="宋体" w:hAnsi="宋体" w:eastAsia="宋体" w:cs="宋体"/>
              </w:rPr>
              <w:t>中国农业银行股份有限公司宜兴分行营业部</w:t>
            </w:r>
          </w:p>
        </w:tc>
      </w:tr>
      <w:tr w14:paraId="61FFC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83" w:type="dxa"/>
            <w:vAlign w:val="center"/>
          </w:tcPr>
          <w:p w14:paraId="3C2558E9">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color w:val="333333"/>
                <w:shd w:val="clear" w:color="auto" w:fill="FFFFFF"/>
              </w:rPr>
              <w:t>5</w:t>
            </w:r>
          </w:p>
        </w:tc>
        <w:tc>
          <w:tcPr>
            <w:tcW w:w="1700" w:type="dxa"/>
            <w:vAlign w:val="center"/>
          </w:tcPr>
          <w:p w14:paraId="410749AC">
            <w:pPr>
              <w:pStyle w:val="6"/>
              <w:spacing w:beforeAutospacing="0" w:afterAutospacing="0"/>
              <w:jc w:val="center"/>
              <w:rPr>
                <w:rFonts w:hint="eastAsia" w:ascii="宋体" w:hAnsi="宋体" w:eastAsia="宋体" w:cs="宋体"/>
                <w:color w:val="333333"/>
                <w:shd w:val="clear" w:color="auto" w:fill="FFFFFF"/>
              </w:rPr>
            </w:pPr>
            <w:r>
              <w:rPr>
                <w:rFonts w:hint="eastAsia" w:ascii="宋体" w:hAnsi="宋体" w:eastAsia="宋体" w:cs="宋体"/>
              </w:rPr>
              <w:t>银行账号</w:t>
            </w:r>
          </w:p>
        </w:tc>
        <w:tc>
          <w:tcPr>
            <w:tcW w:w="5685" w:type="dxa"/>
            <w:vAlign w:val="center"/>
          </w:tcPr>
          <w:p w14:paraId="172FDBCF">
            <w:pPr>
              <w:pStyle w:val="6"/>
              <w:spacing w:beforeAutospacing="0" w:afterAutospacing="0"/>
              <w:jc w:val="both"/>
              <w:rPr>
                <w:rFonts w:hint="eastAsia" w:ascii="宋体" w:hAnsi="宋体" w:eastAsia="宋体" w:cs="宋体"/>
                <w:color w:val="333333"/>
                <w:shd w:val="clear" w:color="auto" w:fill="FFFFFF"/>
              </w:rPr>
            </w:pPr>
            <w:r>
              <w:rPr>
                <w:rFonts w:hint="eastAsia" w:ascii="宋体" w:hAnsi="宋体" w:eastAsia="宋体" w:cs="宋体"/>
              </w:rPr>
              <w:t>网上交易系统中相应标的保证金子账号即为该标的保证金账号</w:t>
            </w:r>
          </w:p>
        </w:tc>
      </w:tr>
    </w:tbl>
    <w:p w14:paraId="29565D54">
      <w:pPr>
        <w:pStyle w:val="6"/>
        <w:shd w:val="clear" w:color="auto" w:fill="FFFFFF"/>
        <w:spacing w:beforeAutospacing="0" w:afterAutospacing="0" w:line="460" w:lineRule="exact"/>
        <w:ind w:left="490" w:leftChars="100" w:hanging="280" w:hangingChars="100"/>
        <w:jc w:val="both"/>
        <w:rPr>
          <w:rFonts w:asciiTheme="minorEastAsia" w:hAnsiTheme="minorEastAsia"/>
          <w:sz w:val="28"/>
          <w:szCs w:val="28"/>
        </w:rPr>
      </w:pPr>
      <w:r>
        <w:rPr>
          <w:rFonts w:asciiTheme="minorEastAsia" w:hAnsiTheme="minorEastAsia"/>
          <w:sz w:val="28"/>
          <w:szCs w:val="28"/>
        </w:rPr>
        <w:t xml:space="preserve">注： </w:t>
      </w:r>
    </w:p>
    <w:p w14:paraId="3A0E810B">
      <w:pPr>
        <w:pStyle w:val="6"/>
        <w:shd w:val="clear" w:color="auto" w:fill="FFFFFF"/>
        <w:spacing w:beforeAutospacing="0" w:afterAutospacing="0" w:line="46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rPr>
        <w:t>① “网上交易系统”是指宜兴市公共资源交易中心网上交易系统。</w:t>
      </w:r>
    </w:p>
    <w:p w14:paraId="2B0D10E4">
      <w:pPr>
        <w:pStyle w:val="6"/>
        <w:shd w:val="clear" w:color="auto" w:fill="FFFFFF"/>
        <w:spacing w:beforeAutospacing="0" w:afterAutospacing="0" w:line="46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rPr>
        <w:t>② 保证金子账号查询方式：竞买人进入网上交易系统后，即可在相应标的查看保证金子账号。</w:t>
      </w:r>
    </w:p>
    <w:p w14:paraId="4563B508">
      <w:pPr>
        <w:pStyle w:val="6"/>
        <w:shd w:val="clear" w:color="auto" w:fill="FFFFFF"/>
        <w:spacing w:beforeAutospacing="0" w:afterAutospacing="0" w:line="46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rPr>
        <w:t>③ 保证金划出账号必须与宜兴市公共资源交易中心企业诚信库中的企业银行基本账户或个人账户的开户账号一致，否则无法进行网上保证金的交纳，请竞买人确保企业诚信库中账户的准确性和有效性。</w:t>
      </w:r>
    </w:p>
    <w:p w14:paraId="0440B4D1">
      <w:pPr>
        <w:pStyle w:val="6"/>
        <w:shd w:val="clear" w:color="auto" w:fill="FFFFFF"/>
        <w:spacing w:beforeAutospacing="0" w:afterAutospacing="0" w:line="46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rPr>
        <w:t>④ 各竞买人应当充分考虑各种因素导致保证金入账滞后风险 （如异地、跨行到账 延迟等银行系统问题或竞买人自身汇款有误等情况），请竞买人根据自己的实际情况尽早安排好保证金的到账时间，确保保证金在报名截止时间前到账,否则造成无效报名的责任自负。</w:t>
      </w:r>
    </w:p>
    <w:p w14:paraId="3613B86E">
      <w:pPr>
        <w:pStyle w:val="6"/>
        <w:shd w:val="clear" w:color="auto" w:fill="FFFFFF"/>
        <w:spacing w:beforeAutospacing="0" w:afterAutospacing="0" w:line="46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rPr>
        <w:t>⑤ 若因系统问题，报名截止时系统无法正常显示保证金到账情况的，以实际到账(子账号)为准。</w:t>
      </w:r>
    </w:p>
    <w:p w14:paraId="4EA2753B">
      <w:pPr>
        <w:pStyle w:val="6"/>
        <w:shd w:val="clear" w:color="auto" w:fill="FFFFFF"/>
        <w:spacing w:beforeAutospacing="0" w:afterAutospacing="0" w:line="460" w:lineRule="exact"/>
        <w:ind w:firstLine="480" w:firstLineChars="200"/>
        <w:rPr>
          <w:rFonts w:hint="eastAsia" w:ascii="宋体" w:hAnsi="宋体" w:eastAsia="宋体" w:cs="宋体"/>
          <w:color w:val="333333"/>
          <w:sz w:val="24"/>
          <w:szCs w:val="24"/>
          <w:highlight w:val="yellow"/>
          <w:shd w:val="clear" w:color="auto" w:fill="FFFFFF"/>
        </w:rPr>
      </w:pPr>
      <w:r>
        <w:rPr>
          <w:rFonts w:hint="eastAsia" w:ascii="宋体" w:hAnsi="宋体" w:eastAsia="宋体" w:cs="宋体"/>
          <w:sz w:val="24"/>
          <w:szCs w:val="24"/>
        </w:rPr>
        <w:t>⑥ 中 国 农 业 银 行 股 份 有 限 公 司 宜 兴 分 行 营 业 部 行 号 ：103302364819。 公共资源交易中心财务咨询电话：87956061。</w:t>
      </w:r>
    </w:p>
    <w:p w14:paraId="4E9E0F37">
      <w:pPr>
        <w:numPr>
          <w:ilvl w:val="0"/>
          <w:numId w:val="0"/>
        </w:numPr>
        <w:spacing w:line="460" w:lineRule="exact"/>
        <w:rPr>
          <w:rFonts w:hint="eastAsia"/>
          <w:sz w:val="28"/>
          <w:szCs w:val="28"/>
          <w:shd w:val="clear" w:color="auto" w:fill="auto"/>
        </w:rPr>
      </w:pPr>
      <w:r>
        <w:rPr>
          <w:rFonts w:hint="eastAsia" w:cs="宋体" w:asciiTheme="minorEastAsia" w:hAnsiTheme="minorEastAsia"/>
          <w:color w:val="333333"/>
          <w:sz w:val="28"/>
          <w:szCs w:val="28"/>
          <w:shd w:val="clear" w:color="auto" w:fill="FFFFFF"/>
        </w:rPr>
        <w:t>（3）</w:t>
      </w:r>
      <w:r>
        <w:rPr>
          <w:rFonts w:hint="eastAsia"/>
          <w:sz w:val="28"/>
          <w:szCs w:val="28"/>
          <w:shd w:val="clear" w:color="auto" w:fill="auto"/>
          <w:lang w:val="en-US" w:eastAsia="zh-CN"/>
        </w:rPr>
        <w:t>竞买人条件</w:t>
      </w:r>
      <w:r>
        <w:rPr>
          <w:rFonts w:hint="eastAsia"/>
          <w:sz w:val="28"/>
          <w:szCs w:val="28"/>
          <w:shd w:val="clear" w:color="auto" w:fill="auto"/>
        </w:rPr>
        <w:t>：</w:t>
      </w:r>
    </w:p>
    <w:p w14:paraId="194240A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b/>
          <w:bCs/>
          <w:sz w:val="28"/>
          <w:szCs w:val="28"/>
        </w:rPr>
      </w:pPr>
      <w:r>
        <w:rPr>
          <w:rFonts w:hint="eastAsia" w:ascii="宋体" w:hAnsi="宋体" w:eastAsia="宋体"/>
          <w:b/>
          <w:bCs/>
          <w:sz w:val="28"/>
          <w:szCs w:val="28"/>
        </w:rPr>
        <w:t>标的1竞买人条件（小卖部）：</w:t>
      </w:r>
    </w:p>
    <w:p w14:paraId="1DB67A1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sz w:val="28"/>
          <w:szCs w:val="28"/>
        </w:rPr>
      </w:pPr>
      <w:r>
        <w:rPr>
          <w:rFonts w:hint="eastAsia" w:ascii="宋体" w:hAnsi="宋体" w:eastAsia="宋体"/>
          <w:sz w:val="28"/>
          <w:szCs w:val="28"/>
        </w:rPr>
        <w:t>①竞买人须是具有完全民事行为能力且营业执照经营范围含有食品经营的法人单位，须提供《营业执照》副本、《食品经营许可证》、《食品流通证》原件及复印件以及每家的法人代表或负责人身份证原件及复印件。</w:t>
      </w:r>
    </w:p>
    <w:p w14:paraId="7C76AC2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sz w:val="28"/>
          <w:szCs w:val="28"/>
        </w:rPr>
      </w:pPr>
      <w:r>
        <w:rPr>
          <w:rFonts w:hint="eastAsia" w:ascii="宋体" w:hAnsi="宋体" w:eastAsia="宋体"/>
          <w:sz w:val="28"/>
          <w:szCs w:val="28"/>
        </w:rPr>
        <w:t>②竞买人</w:t>
      </w:r>
      <w:r>
        <w:rPr>
          <w:rFonts w:hint="eastAsia" w:ascii="宋体" w:hAnsi="宋体" w:eastAsia="宋体"/>
          <w:sz w:val="28"/>
          <w:szCs w:val="28"/>
          <w:lang w:eastAsia="zh-CN"/>
        </w:rPr>
        <w:t>须是</w:t>
      </w:r>
      <w:r>
        <w:rPr>
          <w:rFonts w:hint="eastAsia" w:ascii="宋体" w:hAnsi="宋体" w:eastAsia="宋体"/>
          <w:sz w:val="28"/>
          <w:szCs w:val="28"/>
        </w:rPr>
        <w:t>全国品牌连锁超市，需提交连锁超市的《营业执照》副本、《食品经营许可证》、《食品流通证》原件及复印件以及每家的法人代表或负责人身份证原件及复印件；同时附连锁超市门楣照片</w:t>
      </w:r>
      <w:r>
        <w:rPr>
          <w:rFonts w:hint="eastAsia" w:ascii="宋体" w:hAnsi="宋体" w:eastAsia="宋体"/>
          <w:sz w:val="28"/>
          <w:szCs w:val="28"/>
          <w:lang w:eastAsia="zh-CN"/>
        </w:rPr>
        <w:t>，</w:t>
      </w:r>
      <w:r>
        <w:rPr>
          <w:rFonts w:hint="eastAsia" w:ascii="宋体" w:hAnsi="宋体" w:eastAsia="宋体"/>
          <w:sz w:val="28"/>
          <w:szCs w:val="28"/>
        </w:rPr>
        <w:t>竞买人</w:t>
      </w:r>
      <w:r>
        <w:rPr>
          <w:rFonts w:hint="eastAsia" w:ascii="宋体" w:hAnsi="宋体" w:eastAsia="宋体"/>
          <w:sz w:val="28"/>
          <w:szCs w:val="28"/>
          <w:lang w:eastAsia="zh-CN"/>
        </w:rPr>
        <w:t>须</w:t>
      </w:r>
      <w:r>
        <w:rPr>
          <w:rFonts w:hint="eastAsia" w:ascii="宋体" w:hAnsi="宋体" w:eastAsia="宋体"/>
          <w:sz w:val="28"/>
          <w:szCs w:val="28"/>
        </w:rPr>
        <w:t>提供场地证明原件及复印件，即租赁合同原件或者权属证明原件及复印件。</w:t>
      </w:r>
    </w:p>
    <w:p w14:paraId="42389BC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sz w:val="28"/>
          <w:szCs w:val="28"/>
        </w:rPr>
      </w:pPr>
      <w:r>
        <w:rPr>
          <w:rFonts w:hint="eastAsia" w:ascii="宋体" w:hAnsi="宋体" w:eastAsia="宋体" w:cs="宋体"/>
          <w:sz w:val="28"/>
          <w:szCs w:val="28"/>
        </w:rPr>
        <w:t>③</w:t>
      </w:r>
      <w:r>
        <w:rPr>
          <w:rFonts w:hint="eastAsia" w:ascii="宋体" w:hAnsi="宋体" w:eastAsia="宋体"/>
          <w:sz w:val="28"/>
          <w:szCs w:val="28"/>
        </w:rPr>
        <w:t>竞买人必须有货物采购保障能力、售后服务能力，经营时间必须是24小时，商品价格不高于同品牌市场门店价格；同时提交《承诺书》。</w:t>
      </w:r>
    </w:p>
    <w:p w14:paraId="10BDA85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b/>
          <w:bCs/>
          <w:sz w:val="28"/>
          <w:szCs w:val="28"/>
        </w:rPr>
      </w:pPr>
      <w:r>
        <w:rPr>
          <w:rFonts w:hint="eastAsia" w:ascii="宋体" w:hAnsi="宋体" w:eastAsia="宋体"/>
          <w:b/>
          <w:bCs/>
          <w:sz w:val="28"/>
          <w:szCs w:val="28"/>
        </w:rPr>
        <w:t>标的2竞买人条件（快餐连锁）：</w:t>
      </w:r>
    </w:p>
    <w:p w14:paraId="56F0EE0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sz w:val="28"/>
          <w:szCs w:val="28"/>
        </w:rPr>
      </w:pPr>
      <w:r>
        <w:rPr>
          <w:rFonts w:hint="eastAsia" w:ascii="宋体" w:hAnsi="宋体" w:eastAsia="宋体"/>
          <w:sz w:val="28"/>
          <w:szCs w:val="28"/>
        </w:rPr>
        <w:t>①竞买人须是具有完全民事行为能力、注册资本300万元及以上（如区域子公司或分公司参加，须总公司授权）的快餐连锁企业，经营的快餐品牌在全国必须1000家以上连锁门店；餐饮品牌（西餐）必须国际或国内连锁品牌（国际品牌连锁店优先考虑），如汉堡王、麦当劳、必胜客、肯德基、华莱士、塔斯汀、汤姆之家汉堡等。</w:t>
      </w:r>
    </w:p>
    <w:p w14:paraId="73E827C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sz w:val="28"/>
          <w:szCs w:val="28"/>
        </w:rPr>
      </w:pPr>
      <w:r>
        <w:rPr>
          <w:rFonts w:hint="eastAsia" w:ascii="宋体" w:hAnsi="宋体" w:eastAsia="宋体"/>
          <w:sz w:val="28"/>
          <w:szCs w:val="28"/>
        </w:rPr>
        <w:t>②竞买人在国内市场上有较高的知名度；如竞买人为品牌加盟商，须提供品牌方授权合同（扫描件，保密协议除外）。</w:t>
      </w:r>
    </w:p>
    <w:p w14:paraId="5581109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sz w:val="28"/>
          <w:szCs w:val="28"/>
        </w:rPr>
      </w:pPr>
      <w:r>
        <w:rPr>
          <w:rFonts w:hint="eastAsia" w:ascii="宋体" w:hAnsi="宋体" w:eastAsia="宋体"/>
          <w:sz w:val="28"/>
          <w:szCs w:val="28"/>
        </w:rPr>
        <w:t>③门店经营的食品价格不得高于区域市场其他门店，且须提供经营产品的主要原料供应商信息及相应的采购信息。</w:t>
      </w:r>
    </w:p>
    <w:p w14:paraId="5365AB2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b/>
          <w:bCs/>
          <w:sz w:val="28"/>
          <w:szCs w:val="28"/>
        </w:rPr>
      </w:pPr>
      <w:r>
        <w:rPr>
          <w:rFonts w:hint="eastAsia" w:ascii="宋体" w:hAnsi="宋体" w:eastAsia="宋体"/>
          <w:b/>
          <w:bCs/>
          <w:sz w:val="28"/>
          <w:szCs w:val="28"/>
        </w:rPr>
        <w:t>标的3竞买人条件（视光中心）：</w:t>
      </w:r>
    </w:p>
    <w:p w14:paraId="7E6493A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sz w:val="28"/>
          <w:szCs w:val="28"/>
        </w:rPr>
      </w:pPr>
      <w:r>
        <w:rPr>
          <w:rFonts w:hint="eastAsia" w:ascii="宋体" w:hAnsi="宋体" w:eastAsia="宋体"/>
          <w:sz w:val="28"/>
          <w:szCs w:val="28"/>
        </w:rPr>
        <w:t>①竞买人须是具有完全民事行为能力且具有第三类6822硬镜医疗器械经营许可证（经营方式为批零兼营）的法人单位。</w:t>
      </w:r>
    </w:p>
    <w:p w14:paraId="7381FB6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sz w:val="28"/>
          <w:szCs w:val="28"/>
        </w:rPr>
      </w:pPr>
      <w:r>
        <w:rPr>
          <w:rFonts w:hint="eastAsia" w:ascii="宋体" w:hAnsi="宋体" w:eastAsia="宋体"/>
          <w:sz w:val="28"/>
          <w:szCs w:val="28"/>
        </w:rPr>
        <w:t>②竞买人须具备有效的国家一级技师证书（验光师）（提供证书复印件），派遣的项目负责人（1名）具备有效的国家一级技师证书（验光师），项目辅助人员（3名及以上）具备有效的国家高级验光员证书以及眼视光专业毕业证书（须提供证书复印件，并提供竞买人为其缴纳的 2025年6个月及以上的社保缴纳证明）。</w:t>
      </w:r>
    </w:p>
    <w:p w14:paraId="21F3D6CA">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b w:val="0"/>
          <w:bCs w:val="0"/>
          <w:sz w:val="28"/>
          <w:szCs w:val="28"/>
          <w:shd w:val="clear" w:color="auto" w:fill="auto"/>
          <w:lang w:val="en-US" w:eastAsia="zh-CN"/>
        </w:rPr>
      </w:pPr>
      <w:r>
        <w:rPr>
          <w:rFonts w:hint="eastAsia" w:ascii="宋体" w:hAnsi="宋体" w:eastAsia="宋体"/>
          <w:sz w:val="28"/>
          <w:szCs w:val="28"/>
        </w:rPr>
        <w:t>③竞买人在近两年经营活动中未受到市场监管局、税务局等政府部门的罚款处罚 ，且无重大违法记录、未发生重大舆论事件或无不良行为记录。</w:t>
      </w:r>
      <w:bookmarkStart w:id="8" w:name="_GoBack"/>
      <w:bookmarkEnd w:id="8"/>
    </w:p>
    <w:p w14:paraId="1211F1AD">
      <w:pPr>
        <w:spacing w:line="460" w:lineRule="exact"/>
        <w:ind w:firstLine="560" w:firstLineChars="200"/>
        <w:rPr>
          <w:rFonts w:hint="eastAsia" w:ascii="宋体" w:hAnsi="宋体" w:eastAsia="宋体" w:cs="宋体"/>
          <w:sz w:val="28"/>
          <w:szCs w:val="28"/>
        </w:rPr>
      </w:pPr>
      <w:r>
        <w:rPr>
          <w:rFonts w:hint="eastAsia" w:cs="宋体"/>
          <w:sz w:val="28"/>
          <w:szCs w:val="28"/>
          <w:shd w:val="clear" w:color="auto" w:fill="auto"/>
          <w:lang w:val="en-US" w:eastAsia="zh-CN"/>
        </w:rPr>
        <w:t xml:space="preserve">（4）竞买人应在报名截止时间前完成注册，并上传竞买人条件相关证明材料原件后进行报名；未在规定期限内完成报名手续或因上传材料不完整未通过后台审核的竞买人不得参加竞买。 </w:t>
      </w:r>
    </w:p>
    <w:p w14:paraId="692E320C">
      <w:pPr>
        <w:pStyle w:val="6"/>
        <w:shd w:val="clear" w:color="auto" w:fill="FFFFFF"/>
        <w:spacing w:beforeAutospacing="0" w:afterAutospacing="0" w:line="460" w:lineRule="exact"/>
        <w:ind w:firstLine="420"/>
        <w:jc w:val="both"/>
        <w:rPr>
          <w:rFonts w:cs="宋体" w:asciiTheme="minorEastAsia" w:hAnsiTheme="minorEastAsia"/>
          <w:sz w:val="28"/>
          <w:szCs w:val="28"/>
        </w:rPr>
      </w:pPr>
      <w:r>
        <w:rPr>
          <w:rFonts w:hint="eastAsia" w:asciiTheme="minorEastAsia" w:hAnsiTheme="minorEastAsia"/>
          <w:color w:val="333333"/>
          <w:sz w:val="28"/>
          <w:szCs w:val="28"/>
          <w:shd w:val="clear" w:color="auto" w:fill="FFFFFF"/>
        </w:rPr>
        <w:t>（5）报名环节所需要的相关资料需以</w:t>
      </w:r>
      <w:r>
        <w:rPr>
          <w:rFonts w:hint="eastAsia" w:cs="宋体" w:asciiTheme="minorEastAsia" w:hAnsiTheme="minorEastAsia"/>
          <w:color w:val="333333"/>
          <w:sz w:val="28"/>
          <w:szCs w:val="28"/>
          <w:shd w:val="clear" w:color="auto" w:fill="FFFFFF"/>
        </w:rPr>
        <w:t>原件扫描</w:t>
      </w:r>
      <w:r>
        <w:rPr>
          <w:rFonts w:hint="eastAsia" w:asciiTheme="minorEastAsia" w:hAnsiTheme="minorEastAsia"/>
          <w:color w:val="333333"/>
          <w:sz w:val="28"/>
          <w:szCs w:val="28"/>
          <w:shd w:val="clear" w:color="auto" w:fill="FFFFFF"/>
        </w:rPr>
        <w:t>件</w:t>
      </w:r>
      <w:r>
        <w:rPr>
          <w:rFonts w:hint="eastAsia" w:cs="宋体" w:asciiTheme="minorEastAsia" w:hAnsiTheme="minorEastAsia"/>
          <w:color w:val="333333"/>
          <w:sz w:val="28"/>
          <w:szCs w:val="28"/>
          <w:shd w:val="clear" w:color="auto" w:fill="FFFFFF"/>
        </w:rPr>
        <w:t>或照片的形式上传</w:t>
      </w:r>
      <w:r>
        <w:rPr>
          <w:rFonts w:hint="eastAsia" w:asciiTheme="minorEastAsia" w:hAnsiTheme="minorEastAsia"/>
          <w:color w:val="333333"/>
          <w:sz w:val="28"/>
          <w:szCs w:val="28"/>
          <w:shd w:val="clear" w:color="auto" w:fill="FFFFFF"/>
        </w:rPr>
        <w:t>；</w:t>
      </w:r>
      <w:r>
        <w:rPr>
          <w:rFonts w:hint="eastAsia" w:cs="宋体" w:asciiTheme="minorEastAsia" w:hAnsiTheme="minorEastAsia"/>
          <w:color w:val="333333"/>
          <w:sz w:val="28"/>
          <w:szCs w:val="28"/>
          <w:shd w:val="clear" w:color="auto" w:fill="FFFFFF"/>
        </w:rPr>
        <w:t>竞买人</w:t>
      </w:r>
      <w:r>
        <w:rPr>
          <w:rFonts w:hint="eastAsia" w:asciiTheme="minorEastAsia" w:hAnsiTheme="minorEastAsia"/>
          <w:color w:val="333333"/>
          <w:sz w:val="28"/>
          <w:szCs w:val="28"/>
          <w:shd w:val="clear" w:color="auto" w:fill="FFFFFF"/>
        </w:rPr>
        <w:t>须确保相关资料的清晰、完整、准确，</w:t>
      </w:r>
      <w:r>
        <w:rPr>
          <w:rFonts w:hint="eastAsia" w:cs="宋体" w:asciiTheme="minorEastAsia" w:hAnsiTheme="minorEastAsia"/>
          <w:color w:val="333333"/>
          <w:sz w:val="28"/>
          <w:szCs w:val="28"/>
          <w:shd w:val="clear" w:color="auto" w:fill="FFFFFF"/>
        </w:rPr>
        <w:t>否则导致的后果由竞买人自行承担。</w:t>
      </w:r>
    </w:p>
    <w:p w14:paraId="65AA8807">
      <w:pPr>
        <w:spacing w:line="460" w:lineRule="exact"/>
        <w:ind w:firstLine="560" w:firstLineChars="200"/>
        <w:rPr>
          <w:rFonts w:cs="宋体" w:asciiTheme="minorEastAsia" w:hAnsiTheme="minorEastAsia"/>
          <w:color w:val="FF0000"/>
          <w:sz w:val="28"/>
          <w:szCs w:val="28"/>
        </w:rPr>
      </w:pPr>
      <w:r>
        <w:rPr>
          <w:rFonts w:hint="eastAsia" w:cs="宋体" w:asciiTheme="minorEastAsia" w:hAnsiTheme="minorEastAsia"/>
          <w:sz w:val="28"/>
          <w:szCs w:val="28"/>
        </w:rPr>
        <w:t>第四条 竞买人在公告规定的看样时间内，有权进行实地查看，充分了解标的物的情况,</w:t>
      </w:r>
      <w:r>
        <w:rPr>
          <w:rFonts w:hint="eastAsia" w:cs="宋体" w:asciiTheme="minorEastAsia" w:hAnsiTheme="minorEastAsia"/>
          <w:bCs/>
          <w:sz w:val="28"/>
          <w:szCs w:val="28"/>
        </w:rPr>
        <w:t>参与标的竞拍人需认可标的物的现状和周边环境</w:t>
      </w:r>
      <w:r>
        <w:rPr>
          <w:rFonts w:hint="eastAsia" w:cs="宋体" w:asciiTheme="minorEastAsia" w:hAnsiTheme="minorEastAsia"/>
          <w:sz w:val="28"/>
          <w:szCs w:val="28"/>
        </w:rPr>
        <w:t>。</w:t>
      </w:r>
    </w:p>
    <w:p w14:paraId="47AC35C1">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第五条 竞买人进入拍卖会现场参与拍卖,即表明竞买人已完全了解情况并自愿接受,竞买人应当为自己的拍卖行为负责。本公司根据标的物的实物现状进行拍卖,对本次拍卖的标的物不承担任何瑕疵担保责任；本公司提供的拍品目录、拍卖公告、介绍等相关资料仅供参考。</w:t>
      </w:r>
    </w:p>
    <w:p w14:paraId="23CEA2DC">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第六条 凡是符合国家法律、法规的法人或自然人均可参加竞买。</w:t>
      </w:r>
      <w:r>
        <w:rPr>
          <w:rFonts w:hint="eastAsia" w:cs="宋体" w:asciiTheme="minorEastAsia" w:hAnsiTheme="minorEastAsia"/>
          <w:bCs/>
          <w:sz w:val="28"/>
          <w:szCs w:val="28"/>
        </w:rPr>
        <w:t>竞买人为法人的，须提供法定代表人身份证明书及身份证原件；竞买人为自然人的，须提供自然人身份证原件。若竞买人委托代理人参加竞买的，代理人必须提供身份证原件及竞买人授权委托书，否则不得参加竞买</w:t>
      </w:r>
      <w:r>
        <w:rPr>
          <w:rFonts w:hint="eastAsia" w:cs="宋体" w:asciiTheme="minorEastAsia" w:hAnsiTheme="minorEastAsia"/>
          <w:sz w:val="28"/>
          <w:szCs w:val="28"/>
        </w:rPr>
        <w:t>。</w:t>
      </w:r>
      <w:r>
        <w:rPr>
          <w:rFonts w:hint="eastAsia" w:cs="宋体" w:asciiTheme="minorEastAsia" w:hAnsiTheme="minorEastAsia"/>
          <w:color w:val="000000"/>
          <w:sz w:val="28"/>
          <w:szCs w:val="28"/>
        </w:rPr>
        <w:t>竞买人须凭以上相关材料才能</w:t>
      </w:r>
      <w:r>
        <w:rPr>
          <w:rFonts w:hint="eastAsia" w:cs="宋体" w:asciiTheme="minorEastAsia" w:hAnsiTheme="minorEastAsia"/>
          <w:sz w:val="28"/>
          <w:szCs w:val="28"/>
        </w:rPr>
        <w:t>领取号牌进入拍卖会场。号牌应本人使用,不得转借他人。如出现转借情况并由此拍卖成交的,视作竞买人对使用者的授权,由此产生的责任由登记的竞买人承担。</w:t>
      </w:r>
    </w:p>
    <w:p w14:paraId="0A0F64A9">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第七条 本次拍卖采用有底价增价拍卖方式,起拍价为一年的租金。竞买人可以举牌应价或自行报价,竞买人的最高应价以拍卖师的三声报价落槌方式确认拍卖成交。竞买人竞价应在拍卖师落槌之前才有效。</w:t>
      </w:r>
    </w:p>
    <w:p w14:paraId="69EB58EF">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第八条 拍卖师有权根据拍卖现场实际情况,调整加价幅度。有现场宣布拍卖中止和现场变更的权利，有宣布拍卖开始和结束的权利。拍卖时,拍卖人不再回答竞买人提出的有关标的物和拍卖程序的任何问题。</w:t>
      </w:r>
    </w:p>
    <w:p w14:paraId="442EC018">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第九条 竞买人必须严格遵守拍卖会场的公共秩序，不得相互通告或商讨报价。</w:t>
      </w:r>
    </w:p>
    <w:p w14:paraId="1FB88E03">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第十条 在拍卖会开始前，委托人有权撤回或暂停拍品的拍卖。如遇此情况，委托人、拍卖人不承担任何法律责任，竞买人所交保证金全额无息退还。</w:t>
      </w:r>
    </w:p>
    <w:p w14:paraId="3EB3EF2A">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第十一条 拍卖成交后,买受人必须当场签署《拍卖成交确认书》,同时需在《拍卖记录》上签字确认；《拍卖成交确认书》上的签名须与竞买登记表上的签名一致。竞买人成为买受人后，付款名称必须一致，不允许变更买受人名称。</w:t>
      </w:r>
    </w:p>
    <w:p w14:paraId="7D526332">
      <w:pPr>
        <w:spacing w:line="460" w:lineRule="exact"/>
        <w:ind w:firstLine="562" w:firstLineChars="200"/>
        <w:rPr>
          <w:rFonts w:cs="宋体" w:asciiTheme="minorEastAsia" w:hAnsiTheme="minorEastAsia"/>
          <w:sz w:val="28"/>
          <w:szCs w:val="28"/>
        </w:rPr>
      </w:pPr>
      <w:r>
        <w:rPr>
          <w:rFonts w:hint="eastAsia" w:cs="宋体" w:asciiTheme="minorEastAsia" w:hAnsiTheme="minorEastAsia"/>
          <w:b/>
          <w:bCs/>
          <w:sz w:val="28"/>
          <w:szCs w:val="28"/>
        </w:rPr>
        <w:t>第十二条 本项目无需缴纳交易服务费</w:t>
      </w:r>
      <w:r>
        <w:rPr>
          <w:rFonts w:hint="eastAsia" w:cs="宋体" w:asciiTheme="minorEastAsia" w:hAnsiTheme="minorEastAsia"/>
          <w:sz w:val="28"/>
          <w:szCs w:val="28"/>
        </w:rPr>
        <w:t>。</w:t>
      </w:r>
    </w:p>
    <w:p w14:paraId="3D8C14A9">
      <w:pPr>
        <w:spacing w:line="460" w:lineRule="exact"/>
        <w:ind w:firstLine="560" w:firstLineChars="200"/>
        <w:rPr>
          <w:rFonts w:cs="宋体" w:asciiTheme="minorEastAsia" w:hAnsiTheme="minorEastAsia"/>
          <w:sz w:val="28"/>
          <w:szCs w:val="28"/>
        </w:rPr>
      </w:pPr>
      <w:bookmarkStart w:id="7" w:name="_Hlk154155731"/>
      <w:r>
        <w:rPr>
          <w:rFonts w:hint="eastAsia" w:cs="宋体" w:asciiTheme="minorEastAsia" w:hAnsiTheme="minorEastAsia"/>
          <w:sz w:val="28"/>
          <w:szCs w:val="28"/>
        </w:rPr>
        <w:t>第十三条 拍卖成交后，</w:t>
      </w:r>
      <w:r>
        <w:rPr>
          <w:rFonts w:hint="eastAsia" w:cs="宋体" w:asciiTheme="minorEastAsia" w:hAnsiTheme="minorEastAsia"/>
          <w:bCs/>
          <w:sz w:val="28"/>
          <w:szCs w:val="28"/>
        </w:rPr>
        <w:t>买受人须按拍卖成交价的</w:t>
      </w:r>
      <w:r>
        <w:rPr>
          <w:rFonts w:hint="eastAsia" w:cs="宋体" w:asciiTheme="minorEastAsia" w:hAnsiTheme="minorEastAsia"/>
          <w:bCs/>
          <w:sz w:val="28"/>
          <w:szCs w:val="28"/>
          <w:u w:val="single"/>
        </w:rPr>
        <w:t>5</w:t>
      </w:r>
      <w:r>
        <w:rPr>
          <w:rFonts w:hint="eastAsia" w:cs="宋体" w:asciiTheme="minorEastAsia" w:hAnsiTheme="minorEastAsia"/>
          <w:bCs/>
          <w:sz w:val="28"/>
          <w:szCs w:val="28"/>
          <w:u w:val="single"/>
          <w:lang w:val="en-US" w:eastAsia="zh-CN"/>
        </w:rPr>
        <w:t>.0</w:t>
      </w:r>
      <w:r>
        <w:rPr>
          <w:rFonts w:hint="eastAsia" w:cs="宋体" w:asciiTheme="minorEastAsia" w:hAnsiTheme="minorEastAsia"/>
          <w:bCs/>
          <w:sz w:val="28"/>
          <w:szCs w:val="28"/>
        </w:rPr>
        <w:t xml:space="preserve"> %交</w:t>
      </w:r>
      <w:r>
        <w:rPr>
          <w:rFonts w:hint="eastAsia" w:cs="宋体" w:asciiTheme="minorEastAsia" w:hAnsiTheme="minorEastAsia"/>
          <w:sz w:val="28"/>
          <w:szCs w:val="28"/>
        </w:rPr>
        <w:t>纳拍卖佣金</w:t>
      </w:r>
      <w:bookmarkEnd w:id="7"/>
      <w:r>
        <w:rPr>
          <w:rFonts w:hint="eastAsia" w:cs="宋体" w:asciiTheme="minorEastAsia" w:hAnsiTheme="minorEastAsia"/>
          <w:sz w:val="28"/>
          <w:szCs w:val="28"/>
        </w:rPr>
        <w:t>，自成交之日起5个工作日内交清</w:t>
      </w:r>
      <w:r>
        <w:rPr>
          <w:rFonts w:hint="eastAsia" w:cs="宋体" w:asciiTheme="minorEastAsia" w:hAnsiTheme="minorEastAsia"/>
          <w:b/>
          <w:bCs/>
          <w:sz w:val="28"/>
          <w:szCs w:val="28"/>
        </w:rPr>
        <w:t>拍卖成交价款、租赁押金</w:t>
      </w:r>
      <w:r>
        <w:rPr>
          <w:rFonts w:hint="eastAsia" w:cs="宋体" w:asciiTheme="minorEastAsia" w:hAnsiTheme="minorEastAsia"/>
          <w:b/>
          <w:bCs/>
          <w:sz w:val="28"/>
          <w:szCs w:val="28"/>
          <w:lang w:eastAsia="zh-CN"/>
        </w:rPr>
        <w:t>、</w:t>
      </w:r>
      <w:r>
        <w:rPr>
          <w:rFonts w:hint="eastAsia" w:cs="宋体" w:asciiTheme="minorEastAsia" w:hAnsiTheme="minorEastAsia"/>
          <w:b/>
          <w:bCs/>
          <w:sz w:val="28"/>
          <w:szCs w:val="28"/>
          <w:lang w:val="en-US" w:eastAsia="zh-CN"/>
        </w:rPr>
        <w:t>评估费</w:t>
      </w:r>
      <w:r>
        <w:rPr>
          <w:rFonts w:hint="eastAsia" w:cs="宋体" w:asciiTheme="minorEastAsia" w:hAnsiTheme="minorEastAsia"/>
          <w:b/>
          <w:bCs/>
          <w:sz w:val="28"/>
          <w:szCs w:val="28"/>
        </w:rPr>
        <w:t>（如有）</w:t>
      </w:r>
      <w:r>
        <w:rPr>
          <w:rFonts w:hint="eastAsia" w:cs="宋体" w:asciiTheme="minorEastAsia" w:hAnsiTheme="minorEastAsia"/>
          <w:b/>
          <w:bCs/>
          <w:sz w:val="28"/>
          <w:szCs w:val="28"/>
          <w:lang w:val="en-US" w:eastAsia="zh-CN"/>
        </w:rPr>
        <w:t>及</w:t>
      </w:r>
      <w:r>
        <w:rPr>
          <w:rFonts w:hint="eastAsia" w:cs="宋体" w:asciiTheme="minorEastAsia" w:hAnsiTheme="minorEastAsia"/>
          <w:b/>
          <w:bCs/>
          <w:sz w:val="28"/>
          <w:szCs w:val="28"/>
        </w:rPr>
        <w:t>拍卖佣金</w:t>
      </w:r>
      <w:r>
        <w:rPr>
          <w:rFonts w:hint="eastAsia" w:cs="宋体" w:asciiTheme="minorEastAsia" w:hAnsiTheme="minorEastAsia"/>
          <w:sz w:val="28"/>
          <w:szCs w:val="28"/>
        </w:rPr>
        <w:t>（详见缴款流程），并以到账时间为准。</w:t>
      </w:r>
    </w:p>
    <w:p w14:paraId="6B8153A4">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根据拍卖法第三十九条规定，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买受人违约造成再次拍卖的费用和损失，拍卖公司保留对买受人的追偿权利。</w:t>
      </w:r>
    </w:p>
    <w:p w14:paraId="4222A388">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第十四条 拍卖成交后,拍卖人向买受人提供拍卖成交确认书和佣金票据,委托人向买受人提供成交额票据。</w:t>
      </w:r>
    </w:p>
    <w:p w14:paraId="59455530">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第十五条 拍卖成交后，买受人须在已交清全部款项后5个工作日内，按委托人要求签订《租赁合同》。由委托人和买受人办理拍卖标的物的交付手续（拍品按现状交付，如出现包括但不限于房屋渗漏等情形，由买受人自行负责，本公司不承担拍品的已知和未知的瑕疵担保责任）。</w:t>
      </w:r>
    </w:p>
    <w:p w14:paraId="07F95924">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第十六条 当竞买人出现下列情形时，交易保证金不予退还：</w:t>
      </w:r>
    </w:p>
    <w:p w14:paraId="5582CBD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（一）竞买人故意提供虚假、失实材料使委托人受损的；</w:t>
      </w:r>
    </w:p>
    <w:p w14:paraId="45892E0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（二）竞买人通过获取委托人商业秘密或有恶意串通、操纵、垄断等影响公平竞争的行为，侵害委托人合法权益的；</w:t>
      </w:r>
    </w:p>
    <w:p w14:paraId="09524DB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（三）竞买人阻挠他人竞价，影响拍卖流程正常进行的；</w:t>
      </w:r>
    </w:p>
    <w:p w14:paraId="02A9B615">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（四）竞买人无故不推进交易或无故放弃受让的；</w:t>
      </w:r>
    </w:p>
    <w:p w14:paraId="2F86490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（五）竞买人违反交易合同或协议约定的；</w:t>
      </w:r>
    </w:p>
    <w:p w14:paraId="6E5F14D9">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（六）竞买人违反法律法规或相关规定给委托人造成损失的；</w:t>
      </w:r>
    </w:p>
    <w:p w14:paraId="2E5DE954">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（七）信息披露公告中约定的交易保证金不予退还的其他情形。</w:t>
      </w:r>
    </w:p>
    <w:p w14:paraId="6A8F132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交易保证金金额不足以弥补损失的，委托人</w:t>
      </w:r>
      <w:r>
        <w:rPr>
          <w:rFonts w:cs="宋体" w:asciiTheme="minorEastAsia" w:hAnsiTheme="minorEastAsia"/>
          <w:sz w:val="28"/>
          <w:szCs w:val="28"/>
        </w:rPr>
        <w:t>可以向有过错的</w:t>
      </w:r>
      <w:r>
        <w:rPr>
          <w:rFonts w:hint="eastAsia" w:cs="宋体" w:asciiTheme="minorEastAsia" w:hAnsiTheme="minorEastAsia"/>
          <w:sz w:val="28"/>
          <w:szCs w:val="28"/>
        </w:rPr>
        <w:t>竞买人</w:t>
      </w:r>
      <w:r>
        <w:rPr>
          <w:rFonts w:cs="宋体" w:asciiTheme="minorEastAsia" w:hAnsiTheme="minorEastAsia"/>
          <w:sz w:val="28"/>
          <w:szCs w:val="28"/>
        </w:rPr>
        <w:t>进行追偿。</w:t>
      </w:r>
    </w:p>
    <w:p w14:paraId="569BF35D">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第十七条 拍卖保证金处置：</w:t>
      </w:r>
    </w:p>
    <w:p w14:paraId="2D698B05">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（一）买受人在规定时间内付清全部款项后，拍卖公司在收到拍卖成交款票据、拍卖佣金票据等凭证后</w:t>
      </w:r>
      <w:r>
        <w:rPr>
          <w:rFonts w:cs="宋体" w:asciiTheme="minorEastAsia" w:hAnsiTheme="minorEastAsia"/>
          <w:sz w:val="28"/>
          <w:szCs w:val="28"/>
        </w:rPr>
        <w:t>5</w:t>
      </w:r>
      <w:r>
        <w:rPr>
          <w:rFonts w:hint="eastAsia" w:cs="宋体" w:asciiTheme="minorEastAsia" w:hAnsiTheme="minorEastAsia"/>
          <w:sz w:val="28"/>
          <w:szCs w:val="28"/>
        </w:rPr>
        <w:t>个工作日内上传相关凭证并发起保证金退还申请，交易中心在收到申请后</w:t>
      </w:r>
      <w:r>
        <w:rPr>
          <w:rFonts w:cs="宋体" w:asciiTheme="minorEastAsia" w:hAnsiTheme="minorEastAsia"/>
          <w:sz w:val="28"/>
          <w:szCs w:val="28"/>
        </w:rPr>
        <w:t>5</w:t>
      </w:r>
      <w:r>
        <w:rPr>
          <w:rFonts w:hint="eastAsia" w:cs="宋体" w:asciiTheme="minorEastAsia" w:hAnsiTheme="minorEastAsia"/>
          <w:sz w:val="28"/>
          <w:szCs w:val="28"/>
        </w:rPr>
        <w:t>个工作日内，将保证金全额无息返还；</w:t>
      </w:r>
    </w:p>
    <w:p w14:paraId="1186C5E7">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（二）竞买不成功的，拍卖公司在交易完成后</w:t>
      </w:r>
      <w:r>
        <w:rPr>
          <w:rFonts w:cs="宋体" w:asciiTheme="minorEastAsia" w:hAnsiTheme="minorEastAsia"/>
          <w:sz w:val="28"/>
          <w:szCs w:val="28"/>
        </w:rPr>
        <w:t>5</w:t>
      </w:r>
      <w:r>
        <w:rPr>
          <w:rFonts w:hint="eastAsia" w:cs="宋体" w:asciiTheme="minorEastAsia" w:hAnsiTheme="minorEastAsia"/>
          <w:sz w:val="28"/>
          <w:szCs w:val="28"/>
        </w:rPr>
        <w:t>个工作日内发起保证金退还申请，交易中心在收到申请后</w:t>
      </w:r>
      <w:r>
        <w:rPr>
          <w:rFonts w:cs="宋体" w:asciiTheme="minorEastAsia" w:hAnsiTheme="minorEastAsia"/>
          <w:sz w:val="28"/>
          <w:szCs w:val="28"/>
        </w:rPr>
        <w:t>5</w:t>
      </w:r>
      <w:r>
        <w:rPr>
          <w:rFonts w:hint="eastAsia" w:cs="宋体" w:asciiTheme="minorEastAsia" w:hAnsiTheme="minorEastAsia"/>
          <w:sz w:val="28"/>
          <w:szCs w:val="28"/>
        </w:rPr>
        <w:t>个工作日内，将保证金全额无息返还；</w:t>
      </w:r>
    </w:p>
    <w:p w14:paraId="4A890442">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（三）当竞买人出现第十六条第一款情形或买受人未按照约定支付价款的，交易中心将依据信息披露公告内容及相关约定，将不予退还的交易保证金交由委托人处置。</w:t>
      </w:r>
    </w:p>
    <w:p w14:paraId="765989D9">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第十八条 本次拍品拍卖时的起拍价、成交价均不含拍卖人在竞得后所需支付的包括但不限于佣金、安装、交接、物业费、水、电、气、清场费等发生的一切相关费用和税费。</w:t>
      </w:r>
    </w:p>
    <w:p w14:paraId="72A7B4B2">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第十九条 本规则未明示的拍品不明瑕疵与委托人及拍卖人无关。</w:t>
      </w:r>
    </w:p>
    <w:p w14:paraId="7C3D3DC8">
      <w:pPr>
        <w:spacing w:line="460" w:lineRule="exact"/>
        <w:ind w:firstLine="560" w:firstLineChars="200"/>
        <w:rPr>
          <w:rFonts w:cs="宋体" w:asciiTheme="minorEastAsia" w:hAnsiTheme="minorEastAsia"/>
          <w:sz w:val="28"/>
          <w:szCs w:val="28"/>
        </w:rPr>
      </w:pPr>
      <w:r>
        <w:rPr>
          <w:rFonts w:hint="eastAsia" w:cs="宋体" w:asciiTheme="minorEastAsia" w:hAnsiTheme="minorEastAsia"/>
          <w:sz w:val="28"/>
          <w:szCs w:val="28"/>
        </w:rPr>
        <w:t>第二十条 本规则未尽事宜，按《中华人民共和国拍卖法》及相关法律法规规定执行。</w:t>
      </w:r>
    </w:p>
    <w:p w14:paraId="3D90B9A7">
      <w:pPr>
        <w:spacing w:line="400" w:lineRule="exact"/>
        <w:jc w:val="right"/>
        <w:rPr>
          <w:rFonts w:ascii="宋体" w:hAnsi="宋体" w:eastAsia="宋体" w:cs="宋体"/>
          <w:b w:val="0"/>
          <w:bCs w:val="0"/>
          <w:sz w:val="28"/>
          <w:szCs w:val="28"/>
        </w:rPr>
      </w:pPr>
      <w:r>
        <w:rPr>
          <w:rFonts w:hint="eastAsia" w:ascii="宋体" w:hAnsi="宋体" w:eastAsia="宋体" w:cs="宋体"/>
          <w:b w:val="0"/>
          <w:bCs w:val="0"/>
          <w:sz w:val="28"/>
          <w:szCs w:val="28"/>
        </w:rPr>
        <w:t>江苏益德拍卖有限公司</w:t>
      </w:r>
    </w:p>
    <w:p w14:paraId="381DF34F">
      <w:pPr>
        <w:spacing w:line="400" w:lineRule="exact"/>
        <w:jc w:val="right"/>
        <w:rPr>
          <w:rFonts w:ascii="宋体" w:hAnsi="宋体" w:eastAsia="宋体" w:cs="宋体"/>
          <w:b/>
          <w:bCs/>
          <w:sz w:val="24"/>
        </w:rPr>
      </w:pPr>
      <w:r>
        <w:rPr>
          <w:rFonts w:hint="eastAsia" w:ascii="宋体" w:hAnsi="宋体" w:eastAsia="宋体" w:cs="宋体"/>
          <w:b w:val="0"/>
          <w:bCs w:val="0"/>
          <w:sz w:val="28"/>
          <w:szCs w:val="28"/>
        </w:rPr>
        <w:t>202</w:t>
      </w:r>
      <w:r>
        <w:rPr>
          <w:rFonts w:hint="eastAsia" w:ascii="宋体" w:hAnsi="宋体" w:eastAsia="宋体" w:cs="宋体"/>
          <w:b w:val="0"/>
          <w:bCs w:val="0"/>
          <w:sz w:val="28"/>
          <w:szCs w:val="28"/>
          <w:lang w:val="en-US" w:eastAsia="zh-CN"/>
        </w:rPr>
        <w:t>5</w:t>
      </w:r>
      <w:r>
        <w:rPr>
          <w:rFonts w:hint="eastAsia" w:ascii="宋体" w:hAnsi="宋体" w:eastAsia="宋体" w:cs="宋体"/>
          <w:b w:val="0"/>
          <w:bCs w:val="0"/>
          <w:sz w:val="28"/>
          <w:szCs w:val="28"/>
        </w:rPr>
        <w:t>年</w:t>
      </w:r>
      <w:r>
        <w:rPr>
          <w:rFonts w:hint="eastAsia" w:ascii="宋体" w:hAnsi="宋体" w:eastAsia="宋体" w:cs="宋体"/>
          <w:b w:val="0"/>
          <w:bCs w:val="0"/>
          <w:sz w:val="28"/>
          <w:szCs w:val="28"/>
          <w:lang w:val="en-US" w:eastAsia="zh-CN"/>
        </w:rPr>
        <w:t>9</w:t>
      </w:r>
      <w:r>
        <w:rPr>
          <w:rFonts w:hint="eastAsia" w:ascii="宋体" w:hAnsi="宋体" w:eastAsia="宋体" w:cs="宋体"/>
          <w:b w:val="0"/>
          <w:bCs w:val="0"/>
          <w:sz w:val="28"/>
          <w:szCs w:val="28"/>
        </w:rPr>
        <w:t>月</w:t>
      </w:r>
      <w:r>
        <w:rPr>
          <w:rFonts w:hint="eastAsia" w:ascii="宋体" w:hAnsi="宋体" w:eastAsia="宋体" w:cs="宋体"/>
          <w:b w:val="0"/>
          <w:bCs w:val="0"/>
          <w:sz w:val="28"/>
          <w:szCs w:val="28"/>
          <w:lang w:val="en-US" w:eastAsia="zh-CN"/>
        </w:rPr>
        <w:t>5</w:t>
      </w:r>
      <w:r>
        <w:rPr>
          <w:rFonts w:hint="eastAsia" w:ascii="宋体" w:hAnsi="宋体" w:eastAsia="宋体" w:cs="宋体"/>
          <w:b w:val="0"/>
          <w:bCs w:val="0"/>
          <w:sz w:val="28"/>
          <w:szCs w:val="28"/>
        </w:rPr>
        <w:t>日</w:t>
      </w:r>
    </w:p>
    <w:p w14:paraId="64C9344A">
      <w:pPr>
        <w:spacing w:line="400" w:lineRule="exact"/>
        <w:ind w:firstLine="562" w:firstLineChars="200"/>
        <w:rPr>
          <w:rFonts w:ascii="宋体" w:hAnsi="宋体" w:eastAsia="宋体" w:cs="宋体"/>
          <w:sz w:val="24"/>
        </w:rPr>
      </w:pPr>
      <w:r>
        <w:rPr>
          <w:rFonts w:hint="eastAsia" w:ascii="宋体" w:hAnsi="宋体" w:eastAsia="宋体" w:cs="宋体"/>
          <w:b/>
          <w:bCs/>
          <w:spacing w:val="20"/>
          <w:sz w:val="24"/>
        </w:rPr>
        <w:t>竞买人对以上内容应仔细阅读，在确认已充分知晓并理解各条款之确切含义及相应法律责任</w:t>
      </w:r>
      <w:r>
        <w:rPr>
          <w:rFonts w:hint="eastAsia" w:ascii="宋体" w:hAnsi="宋体" w:eastAsia="宋体" w:cs="宋体"/>
          <w:b/>
          <w:bCs/>
          <w:spacing w:val="20"/>
          <w:sz w:val="24"/>
          <w:lang w:eastAsia="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52A89">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p w14:paraId="3A523705">
                <w:pPr>
                  <w:pStyle w:val="4"/>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g0NmU5MDMwZTZjNDQ1Y2QwNGUyMGU3NzNjMzNlYjEifQ=="/>
  </w:docVars>
  <w:rsids>
    <w:rsidRoot w:val="004E2C3D"/>
    <w:rsid w:val="000E7630"/>
    <w:rsid w:val="00197DDA"/>
    <w:rsid w:val="001B48EE"/>
    <w:rsid w:val="001E3823"/>
    <w:rsid w:val="001F5523"/>
    <w:rsid w:val="00273D09"/>
    <w:rsid w:val="00295B4F"/>
    <w:rsid w:val="00322C1E"/>
    <w:rsid w:val="00361F41"/>
    <w:rsid w:val="004277C9"/>
    <w:rsid w:val="004E147D"/>
    <w:rsid w:val="004E2C3D"/>
    <w:rsid w:val="005B6F7B"/>
    <w:rsid w:val="00674EA7"/>
    <w:rsid w:val="006C7231"/>
    <w:rsid w:val="00805799"/>
    <w:rsid w:val="0084275B"/>
    <w:rsid w:val="008812E8"/>
    <w:rsid w:val="009032C2"/>
    <w:rsid w:val="009919C6"/>
    <w:rsid w:val="00A842EB"/>
    <w:rsid w:val="00BA3977"/>
    <w:rsid w:val="00C45783"/>
    <w:rsid w:val="00C53A4C"/>
    <w:rsid w:val="00C54EAB"/>
    <w:rsid w:val="00C82CBB"/>
    <w:rsid w:val="00DB12A4"/>
    <w:rsid w:val="00EA229F"/>
    <w:rsid w:val="00F85EEC"/>
    <w:rsid w:val="00FC1E8E"/>
    <w:rsid w:val="01714984"/>
    <w:rsid w:val="0333345C"/>
    <w:rsid w:val="04F03C97"/>
    <w:rsid w:val="051B5F74"/>
    <w:rsid w:val="053C6EDC"/>
    <w:rsid w:val="076F2CF8"/>
    <w:rsid w:val="077B109C"/>
    <w:rsid w:val="0CDE4E63"/>
    <w:rsid w:val="0D2F0621"/>
    <w:rsid w:val="0D313465"/>
    <w:rsid w:val="0E9A2E45"/>
    <w:rsid w:val="0F3420BD"/>
    <w:rsid w:val="0FA364D6"/>
    <w:rsid w:val="123F625E"/>
    <w:rsid w:val="12857438"/>
    <w:rsid w:val="16133C89"/>
    <w:rsid w:val="1819758E"/>
    <w:rsid w:val="18B067CF"/>
    <w:rsid w:val="192306DD"/>
    <w:rsid w:val="1A96457F"/>
    <w:rsid w:val="1AF720E8"/>
    <w:rsid w:val="1AF77770"/>
    <w:rsid w:val="1C040E10"/>
    <w:rsid w:val="1CD87093"/>
    <w:rsid w:val="1E944523"/>
    <w:rsid w:val="2006061A"/>
    <w:rsid w:val="21CD079E"/>
    <w:rsid w:val="22773079"/>
    <w:rsid w:val="242978FD"/>
    <w:rsid w:val="24D00BA1"/>
    <w:rsid w:val="25537BFE"/>
    <w:rsid w:val="274806DA"/>
    <w:rsid w:val="278C7703"/>
    <w:rsid w:val="29AE5C47"/>
    <w:rsid w:val="2D6C3F53"/>
    <w:rsid w:val="2E0E1BAF"/>
    <w:rsid w:val="2E70537D"/>
    <w:rsid w:val="2ED710DE"/>
    <w:rsid w:val="2F492340"/>
    <w:rsid w:val="32D74B82"/>
    <w:rsid w:val="331619F9"/>
    <w:rsid w:val="33323549"/>
    <w:rsid w:val="33673ECA"/>
    <w:rsid w:val="3410342A"/>
    <w:rsid w:val="34922213"/>
    <w:rsid w:val="35E22849"/>
    <w:rsid w:val="35E3774B"/>
    <w:rsid w:val="36B351C5"/>
    <w:rsid w:val="36F31B42"/>
    <w:rsid w:val="38241206"/>
    <w:rsid w:val="3B4F5CAE"/>
    <w:rsid w:val="3C003CB1"/>
    <w:rsid w:val="3C097069"/>
    <w:rsid w:val="3EFF21D9"/>
    <w:rsid w:val="40B45D7C"/>
    <w:rsid w:val="42C827B2"/>
    <w:rsid w:val="444E5319"/>
    <w:rsid w:val="45567BC2"/>
    <w:rsid w:val="45627EA6"/>
    <w:rsid w:val="471D1529"/>
    <w:rsid w:val="48D80297"/>
    <w:rsid w:val="49DA7107"/>
    <w:rsid w:val="49FB248F"/>
    <w:rsid w:val="49FD0420"/>
    <w:rsid w:val="4AF54AD5"/>
    <w:rsid w:val="4BD96800"/>
    <w:rsid w:val="4E140BEB"/>
    <w:rsid w:val="4E706752"/>
    <w:rsid w:val="4FDA0317"/>
    <w:rsid w:val="4FDA66A3"/>
    <w:rsid w:val="51DA0BDC"/>
    <w:rsid w:val="5380453A"/>
    <w:rsid w:val="53C94501"/>
    <w:rsid w:val="5437167A"/>
    <w:rsid w:val="54A3212E"/>
    <w:rsid w:val="55A10B06"/>
    <w:rsid w:val="55E51921"/>
    <w:rsid w:val="55E71B19"/>
    <w:rsid w:val="57160203"/>
    <w:rsid w:val="59205A6E"/>
    <w:rsid w:val="597E6B6F"/>
    <w:rsid w:val="599B4F6D"/>
    <w:rsid w:val="59D31C95"/>
    <w:rsid w:val="5A5362C2"/>
    <w:rsid w:val="5B0D4D97"/>
    <w:rsid w:val="5B457469"/>
    <w:rsid w:val="5EF34FFB"/>
    <w:rsid w:val="60526C42"/>
    <w:rsid w:val="60D86B60"/>
    <w:rsid w:val="60DB227B"/>
    <w:rsid w:val="614B11AE"/>
    <w:rsid w:val="66FB6FF1"/>
    <w:rsid w:val="695D4175"/>
    <w:rsid w:val="697D4AC2"/>
    <w:rsid w:val="6A9A4F55"/>
    <w:rsid w:val="6BCC55E2"/>
    <w:rsid w:val="6E497426"/>
    <w:rsid w:val="6EC356CD"/>
    <w:rsid w:val="6F482643"/>
    <w:rsid w:val="6F871F4B"/>
    <w:rsid w:val="738D2B36"/>
    <w:rsid w:val="744F0B5E"/>
    <w:rsid w:val="74D147AA"/>
    <w:rsid w:val="75EC098F"/>
    <w:rsid w:val="76044052"/>
    <w:rsid w:val="77533873"/>
    <w:rsid w:val="783502EA"/>
    <w:rsid w:val="78F97A5A"/>
    <w:rsid w:val="79627149"/>
    <w:rsid w:val="79980D7E"/>
    <w:rsid w:val="7A0D1DA1"/>
    <w:rsid w:val="7A3B2ACB"/>
    <w:rsid w:val="7A950625"/>
    <w:rsid w:val="7B851FEE"/>
    <w:rsid w:val="7FFF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qFormat/>
    <w:uiPriority w:val="0"/>
    <w:pPr>
      <w:ind w:left="100" w:leftChars="2500"/>
    </w:p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header"/>
    <w:basedOn w:val="1"/>
    <w:link w:val="12"/>
    <w:qFormat/>
    <w:uiPriority w:val="0"/>
    <w:pP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autoRedefine/>
    <w:qFormat/>
    <w:uiPriority w:val="0"/>
    <w:rPr>
      <w:color w:val="0000FF"/>
      <w:u w:val="single"/>
    </w:rPr>
  </w:style>
  <w:style w:type="paragraph" w:customStyle="1" w:styleId="11">
    <w:name w:val="列出段落1"/>
    <w:basedOn w:val="1"/>
    <w:autoRedefine/>
    <w:qFormat/>
    <w:uiPriority w:val="0"/>
    <w:pPr>
      <w:ind w:firstLine="420" w:firstLineChars="200"/>
    </w:pPr>
    <w:rPr>
      <w:rFonts w:ascii="Calibri" w:hAnsi="Calibri" w:eastAsia="宋体" w:cs="Times New Roman"/>
      <w:szCs w:val="22"/>
    </w:rPr>
  </w:style>
  <w:style w:type="character" w:customStyle="1" w:styleId="12">
    <w:name w:val="页眉 Char"/>
    <w:basedOn w:val="9"/>
    <w:link w:val="5"/>
    <w:autoRedefine/>
    <w:qFormat/>
    <w:uiPriority w:val="0"/>
    <w:rPr>
      <w:rFonts w:asciiTheme="minorHAnsi" w:hAnsiTheme="minorHAnsi" w:eastAsiaTheme="minorEastAsia" w:cstheme="minorBidi"/>
      <w:kern w:val="2"/>
      <w:sz w:val="18"/>
      <w:szCs w:val="18"/>
    </w:rPr>
  </w:style>
  <w:style w:type="character" w:customStyle="1" w:styleId="13">
    <w:name w:val="日期 Char"/>
    <w:basedOn w:val="9"/>
    <w:link w:val="3"/>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4045</Words>
  <Characters>4155</Characters>
  <Lines>23</Lines>
  <Paragraphs>6</Paragraphs>
  <TotalTime>2</TotalTime>
  <ScaleCrop>false</ScaleCrop>
  <LinksUpToDate>false</LinksUpToDate>
  <CharactersWithSpaces>4229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2022-12-23T01:29:00Z</dcterms:created>
  <dc:creator>Administrator</dc:creator>
  <cp:lastModifiedBy>Administrator</cp:lastModifiedBy>
  <dcterms:modified xsi:type="dcterms:W3CDTF">2025-09-04T08:12:06Z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C4FA8A98701046FCA46EA03701A618D5</vt:lpwstr>
  </property>
  <property fmtid="{D5CDD505-2E9C-101B-9397-08002B2CF9AE}" pid="4" name="KSOTemplateDocerSaveRecord">
    <vt:lpwstr>eyJoZGlkIjoiYTc2ZDNmY2IzNjBjOTM3ZDNkMTdiNDcwNmYwODY5NjEiLCJ1c2VySWQiOiI1ODE5NTk2MDEifQ==</vt:lpwstr>
  </property>
</Properties>
</file>