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C2DFC6">
      <w:pPr>
        <w:ind w:firstLine="0" w:firstLineChars="0"/>
        <w:rPr>
          <w:rFonts w:asciiTheme="minorEastAsia" w:hAnsiTheme="minorEastAsia" w:cstheme="minorEastAsia"/>
          <w:b/>
          <w:bCs/>
          <w:sz w:val="36"/>
          <w:szCs w:val="36"/>
        </w:rPr>
      </w:pPr>
      <w:r>
        <w:rPr>
          <w:rFonts w:hint="eastAsia" w:asciiTheme="minorEastAsia" w:hAnsiTheme="minorEastAsia" w:cstheme="minorEastAsia"/>
          <w:b/>
          <w:bCs/>
          <w:sz w:val="36"/>
          <w:szCs w:val="36"/>
        </w:rPr>
        <w:t>宜兴市湖㳇镇中交阳羡美庐项目B2酒店、阳羡茶场石牛山安置房施工余弃土石料拍卖须知</w:t>
      </w:r>
    </w:p>
    <w:p w14:paraId="0944EE4E">
      <w:pPr>
        <w:rPr>
          <w:rFonts w:asciiTheme="minorEastAsia" w:hAnsiTheme="minorEastAsia" w:cstheme="minorEastAsia"/>
        </w:rPr>
      </w:pPr>
    </w:p>
    <w:p w14:paraId="7C8C7B0B">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本须知根据《中华人民共和国拍卖法》及有关法律、法规和委托人的要求制定，本次拍卖活动遵循“公开、公平、公正、诚实守信”原则，竞买人应仔细阅读和遵守规则，并对自己的行为负责。</w:t>
      </w:r>
    </w:p>
    <w:p w14:paraId="5C154BE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一、一般条款：</w:t>
      </w:r>
    </w:p>
    <w:p w14:paraId="431812F5">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第一条 拍卖标的:</w:t>
      </w:r>
    </w:p>
    <w:tbl>
      <w:tblPr>
        <w:tblStyle w:val="5"/>
        <w:tblW w:w="9060" w:type="dxa"/>
        <w:jc w:val="center"/>
        <w:tblLayout w:type="autofit"/>
        <w:tblCellMar>
          <w:top w:w="0" w:type="dxa"/>
          <w:left w:w="108" w:type="dxa"/>
          <w:bottom w:w="0" w:type="dxa"/>
          <w:right w:w="108" w:type="dxa"/>
        </w:tblCellMar>
      </w:tblPr>
      <w:tblGrid>
        <w:gridCol w:w="1602"/>
        <w:gridCol w:w="3024"/>
        <w:gridCol w:w="1549"/>
        <w:gridCol w:w="851"/>
        <w:gridCol w:w="2034"/>
      </w:tblGrid>
      <w:tr w14:paraId="0EE89F95">
        <w:tblPrEx>
          <w:tblCellMar>
            <w:top w:w="0" w:type="dxa"/>
            <w:left w:w="108" w:type="dxa"/>
            <w:bottom w:w="0" w:type="dxa"/>
            <w:right w:w="108" w:type="dxa"/>
          </w:tblCellMar>
        </w:tblPrEx>
        <w:trPr>
          <w:trHeight w:val="764" w:hRule="atLeast"/>
          <w:jc w:val="center"/>
        </w:trPr>
        <w:tc>
          <w:tcPr>
            <w:tcW w:w="1602"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0D32B65B">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标的编号</w:t>
            </w:r>
          </w:p>
        </w:tc>
        <w:tc>
          <w:tcPr>
            <w:tcW w:w="3024"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18827722">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标的名称</w:t>
            </w:r>
          </w:p>
        </w:tc>
        <w:tc>
          <w:tcPr>
            <w:tcW w:w="1549"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69CE9506">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数量</w:t>
            </w:r>
          </w:p>
          <w:p w14:paraId="63C96583">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（吨）</w:t>
            </w:r>
          </w:p>
        </w:tc>
        <w:tc>
          <w:tcPr>
            <w:tcW w:w="851"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57E7B584">
            <w:pPr>
              <w:widowControl/>
              <w:wordWrap w:val="0"/>
              <w:ind w:firstLine="0" w:firstLineChars="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起拍价</w:t>
            </w:r>
          </w:p>
          <w:p w14:paraId="3C818CF2">
            <w:pPr>
              <w:widowControl/>
              <w:wordWrap w:val="0"/>
              <w:ind w:firstLine="0" w:firstLineChars="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（万元）</w:t>
            </w:r>
          </w:p>
        </w:tc>
        <w:tc>
          <w:tcPr>
            <w:tcW w:w="2034"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0913D8B9">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备注</w:t>
            </w:r>
          </w:p>
        </w:tc>
      </w:tr>
      <w:tr w14:paraId="72156C07">
        <w:tblPrEx>
          <w:tblCellMar>
            <w:top w:w="0" w:type="dxa"/>
            <w:left w:w="108" w:type="dxa"/>
            <w:bottom w:w="0" w:type="dxa"/>
            <w:right w:w="108" w:type="dxa"/>
          </w:tblCellMar>
        </w:tblPrEx>
        <w:trPr>
          <w:trHeight w:val="816" w:hRule="atLeast"/>
          <w:jc w:val="center"/>
        </w:trPr>
        <w:tc>
          <w:tcPr>
            <w:tcW w:w="1602" w:type="dxa"/>
            <w:vMerge w:val="restart"/>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7DB317AC">
            <w:pPr>
              <w:widowControl/>
              <w:wordWrap w:val="0"/>
              <w:ind w:firstLine="560"/>
              <w:rPr>
                <w:rFonts w:cs="宋体" w:asciiTheme="minorEastAsia" w:hAnsiTheme="minorEastAsia"/>
                <w:color w:val="000000"/>
                <w:kern w:val="0"/>
                <w:sz w:val="28"/>
                <w:szCs w:val="28"/>
              </w:rPr>
            </w:pPr>
            <w:r>
              <w:rPr>
                <w:rFonts w:cs="宋体" w:asciiTheme="minorEastAsia" w:hAnsiTheme="minorEastAsia"/>
                <w:color w:val="000000"/>
                <w:kern w:val="0"/>
                <w:sz w:val="28"/>
                <w:szCs w:val="28"/>
              </w:rPr>
              <w:t>YXQTZR20250026001</w:t>
            </w:r>
          </w:p>
        </w:tc>
        <w:tc>
          <w:tcPr>
            <w:tcW w:w="3024"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1FFD1EBF">
            <w:pPr>
              <w:wordWrap w:val="0"/>
              <w:ind w:firstLine="560"/>
              <w:rPr>
                <w:rFonts w:cs="宋体" w:asciiTheme="minorEastAsia" w:hAnsiTheme="minorEastAsia"/>
                <w:color w:val="000000"/>
                <w:kern w:val="0"/>
                <w:sz w:val="28"/>
                <w:szCs w:val="28"/>
              </w:rPr>
            </w:pPr>
            <w:r>
              <w:rPr>
                <w:rFonts w:hint="eastAsia" w:asciiTheme="minorEastAsia" w:hAnsiTheme="minorEastAsia"/>
                <w:sz w:val="28"/>
                <w:szCs w:val="28"/>
              </w:rPr>
              <w:t>宜兴市湖㳇镇中交阳羡美庐项目B2酒店余弃土石料</w:t>
            </w:r>
          </w:p>
        </w:tc>
        <w:tc>
          <w:tcPr>
            <w:tcW w:w="1549"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68D3978C">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324275</w:t>
            </w:r>
          </w:p>
        </w:tc>
        <w:tc>
          <w:tcPr>
            <w:tcW w:w="851" w:type="dxa"/>
            <w:vMerge w:val="restart"/>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3607195D">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700．04</w:t>
            </w:r>
          </w:p>
        </w:tc>
        <w:tc>
          <w:tcPr>
            <w:tcW w:w="2034" w:type="dxa"/>
            <w:vMerge w:val="restart"/>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4EE481E6">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整体打包拍卖</w:t>
            </w:r>
          </w:p>
          <w:p w14:paraId="64AAD4D6">
            <w:pPr>
              <w:widowControl/>
              <w:wordWrap w:val="0"/>
              <w:ind w:firstLine="560"/>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（起拍价为现场堆放场地价，不含税）</w:t>
            </w:r>
          </w:p>
        </w:tc>
      </w:tr>
      <w:tr w14:paraId="10A451C7">
        <w:tblPrEx>
          <w:tblCellMar>
            <w:top w:w="0" w:type="dxa"/>
            <w:left w:w="108" w:type="dxa"/>
            <w:bottom w:w="0" w:type="dxa"/>
            <w:right w:w="108" w:type="dxa"/>
          </w:tblCellMar>
        </w:tblPrEx>
        <w:trPr>
          <w:trHeight w:val="739" w:hRule="atLeast"/>
          <w:jc w:val="center"/>
        </w:trPr>
        <w:tc>
          <w:tcPr>
            <w:tcW w:w="1602" w:type="dxa"/>
            <w:vMerge w:val="continue"/>
            <w:tcBorders>
              <w:top w:val="single" w:color="auto" w:sz="4" w:space="0"/>
              <w:left w:val="single" w:color="auto" w:sz="4" w:space="0"/>
              <w:bottom w:val="single" w:color="auto" w:sz="4" w:space="0"/>
              <w:right w:val="single" w:color="auto" w:sz="4" w:space="0"/>
            </w:tcBorders>
            <w:vAlign w:val="center"/>
          </w:tcPr>
          <w:p w14:paraId="1AA9132F">
            <w:pPr>
              <w:widowControl/>
              <w:ind w:firstLine="560"/>
              <w:jc w:val="left"/>
              <w:rPr>
                <w:rFonts w:cs="宋体" w:asciiTheme="minorEastAsia" w:hAnsiTheme="minorEastAsia"/>
                <w:color w:val="000000"/>
                <w:kern w:val="0"/>
                <w:sz w:val="28"/>
                <w:szCs w:val="28"/>
              </w:rPr>
            </w:pPr>
          </w:p>
        </w:tc>
        <w:tc>
          <w:tcPr>
            <w:tcW w:w="3024"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0EA88F80">
            <w:pPr>
              <w:wordWrap w:val="0"/>
              <w:ind w:firstLine="560"/>
              <w:jc w:val="left"/>
              <w:rPr>
                <w:rFonts w:asciiTheme="minorEastAsia" w:hAnsiTheme="minorEastAsia"/>
                <w:sz w:val="28"/>
                <w:szCs w:val="28"/>
              </w:rPr>
            </w:pPr>
            <w:r>
              <w:rPr>
                <w:rFonts w:hint="eastAsia" w:asciiTheme="minorEastAsia" w:hAnsiTheme="minorEastAsia"/>
                <w:sz w:val="28"/>
                <w:szCs w:val="28"/>
              </w:rPr>
              <w:t>阳羡茶场石牛山安置房施工余弃土石料</w:t>
            </w:r>
          </w:p>
        </w:tc>
        <w:tc>
          <w:tcPr>
            <w:tcW w:w="1549" w:type="dxa"/>
            <w:tcBorders>
              <w:top w:val="single" w:color="auto" w:sz="4" w:space="0"/>
              <w:left w:val="single" w:color="auto" w:sz="4" w:space="0"/>
              <w:bottom w:val="single" w:color="auto" w:sz="4" w:space="0"/>
              <w:right w:val="single" w:color="auto" w:sz="4" w:space="0"/>
            </w:tcBorders>
            <w:tcMar>
              <w:top w:w="0" w:type="dxa"/>
              <w:left w:w="60" w:type="dxa"/>
              <w:bottom w:w="0" w:type="dxa"/>
              <w:right w:w="60" w:type="dxa"/>
            </w:tcMar>
            <w:vAlign w:val="center"/>
          </w:tcPr>
          <w:p w14:paraId="4C3A278A">
            <w:pPr>
              <w:widowControl/>
              <w:wordWrap w:val="0"/>
              <w:ind w:firstLine="560"/>
              <w:jc w:val="left"/>
              <w:rPr>
                <w:rFonts w:cs="宋体" w:asciiTheme="minorEastAsia" w:hAnsiTheme="minorEastAsia"/>
                <w:color w:val="000000"/>
                <w:kern w:val="0"/>
                <w:sz w:val="28"/>
                <w:szCs w:val="28"/>
              </w:rPr>
            </w:pPr>
            <w:r>
              <w:rPr>
                <w:rFonts w:hint="eastAsia" w:cs="宋体" w:asciiTheme="minorEastAsia" w:hAnsiTheme="minorEastAsia"/>
                <w:color w:val="000000"/>
                <w:kern w:val="0"/>
                <w:sz w:val="28"/>
                <w:szCs w:val="28"/>
              </w:rPr>
              <w:t>20593</w:t>
            </w:r>
          </w:p>
        </w:tc>
        <w:tc>
          <w:tcPr>
            <w:tcW w:w="851" w:type="dxa"/>
            <w:vMerge w:val="continue"/>
            <w:tcBorders>
              <w:top w:val="single" w:color="auto" w:sz="4" w:space="0"/>
              <w:left w:val="single" w:color="auto" w:sz="4" w:space="0"/>
              <w:bottom w:val="single" w:color="auto" w:sz="4" w:space="0"/>
              <w:right w:val="single" w:color="auto" w:sz="4" w:space="0"/>
            </w:tcBorders>
            <w:vAlign w:val="center"/>
          </w:tcPr>
          <w:p w14:paraId="54284E3D">
            <w:pPr>
              <w:widowControl/>
              <w:ind w:firstLine="560"/>
              <w:jc w:val="left"/>
              <w:rPr>
                <w:rFonts w:cs="宋体" w:asciiTheme="minorEastAsia" w:hAnsiTheme="minorEastAsia"/>
                <w:color w:val="000000"/>
                <w:kern w:val="0"/>
                <w:sz w:val="28"/>
                <w:szCs w:val="28"/>
              </w:rPr>
            </w:pPr>
          </w:p>
        </w:tc>
        <w:tc>
          <w:tcPr>
            <w:tcW w:w="2034" w:type="dxa"/>
            <w:vMerge w:val="continue"/>
            <w:tcBorders>
              <w:top w:val="single" w:color="auto" w:sz="4" w:space="0"/>
              <w:left w:val="single" w:color="auto" w:sz="4" w:space="0"/>
              <w:bottom w:val="single" w:color="auto" w:sz="4" w:space="0"/>
              <w:right w:val="single" w:color="auto" w:sz="4" w:space="0"/>
            </w:tcBorders>
            <w:vAlign w:val="center"/>
          </w:tcPr>
          <w:p w14:paraId="4680D63C">
            <w:pPr>
              <w:widowControl/>
              <w:ind w:firstLine="560"/>
              <w:jc w:val="left"/>
              <w:rPr>
                <w:rFonts w:cs="宋体" w:asciiTheme="minorEastAsia" w:hAnsiTheme="minorEastAsia"/>
                <w:color w:val="000000"/>
                <w:kern w:val="0"/>
                <w:sz w:val="28"/>
                <w:szCs w:val="28"/>
              </w:rPr>
            </w:pPr>
          </w:p>
        </w:tc>
      </w:tr>
    </w:tbl>
    <w:p w14:paraId="2E089144">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第二条 拍卖时间及地点</w:t>
      </w:r>
    </w:p>
    <w:p w14:paraId="670C31BB">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1、拍卖时间：2025年6月20日上午9:00</w:t>
      </w:r>
    </w:p>
    <w:p w14:paraId="4E3A8052">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2、拍卖地点：宜兴市公共资源交易中心二楼6号开标室</w:t>
      </w:r>
      <w:bookmarkStart w:id="0" w:name="_Hlk154153367"/>
      <w:r>
        <w:rPr>
          <w:rFonts w:hint="eastAsia" w:asciiTheme="minorEastAsia" w:hAnsiTheme="minorEastAsia" w:cstheme="minorEastAsia"/>
          <w:sz w:val="28"/>
          <w:szCs w:val="28"/>
        </w:rPr>
        <w:t>(宜兴市陶都路125号)</w:t>
      </w:r>
      <w:bookmarkEnd w:id="0"/>
    </w:p>
    <w:p w14:paraId="617F3B80">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第三条 拍卖报名</w:t>
      </w:r>
    </w:p>
    <w:p w14:paraId="68717C81">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shd w:val="clear" w:color="auto" w:fill="FFFFFF"/>
        </w:rPr>
        <w:t>1、</w:t>
      </w:r>
      <w:bookmarkStart w:id="1" w:name="_Hlk154154618"/>
      <w:r>
        <w:rPr>
          <w:rFonts w:hint="eastAsia" w:asciiTheme="minorEastAsia" w:hAnsiTheme="minorEastAsia" w:cstheme="minorEastAsia"/>
          <w:sz w:val="28"/>
          <w:szCs w:val="28"/>
          <w:shd w:val="clear" w:color="auto" w:fill="FFFFFF"/>
        </w:rPr>
        <w:t>报名截止时间</w:t>
      </w:r>
      <w:bookmarkEnd w:id="1"/>
      <w:r>
        <w:rPr>
          <w:rFonts w:hint="eastAsia" w:asciiTheme="minorEastAsia" w:hAnsiTheme="minorEastAsia" w:cstheme="minorEastAsia"/>
          <w:sz w:val="28"/>
          <w:szCs w:val="28"/>
          <w:shd w:val="clear" w:color="auto" w:fill="FFFFFF"/>
        </w:rPr>
        <w:t>：</w:t>
      </w:r>
      <w:bookmarkStart w:id="2" w:name="_Hlk154154629"/>
      <w:r>
        <w:rPr>
          <w:rFonts w:hint="eastAsia" w:asciiTheme="minorEastAsia" w:hAnsiTheme="minorEastAsia" w:cstheme="minorEastAsia"/>
          <w:sz w:val="28"/>
          <w:szCs w:val="28"/>
          <w:shd w:val="clear" w:color="auto" w:fill="FFFFFF"/>
        </w:rPr>
        <w:t>2025年6月19日</w:t>
      </w:r>
      <w:bookmarkEnd w:id="2"/>
      <w:r>
        <w:rPr>
          <w:rFonts w:hint="eastAsia" w:asciiTheme="minorEastAsia" w:hAnsiTheme="minorEastAsia" w:cstheme="minorEastAsia"/>
          <w:sz w:val="28"/>
          <w:szCs w:val="28"/>
          <w:shd w:val="clear" w:color="auto" w:fill="FFFFFF"/>
        </w:rPr>
        <w:t>16时30分</w:t>
      </w:r>
    </w:p>
    <w:p w14:paraId="4E8EBD16">
      <w:pPr>
        <w:pStyle w:val="4"/>
        <w:spacing w:beforeAutospacing="0" w:afterAutospacing="0"/>
        <w:ind w:firstLine="560"/>
        <w:jc w:val="both"/>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2、</w:t>
      </w:r>
      <w:bookmarkStart w:id="3" w:name="_Hlk154154819"/>
      <w:r>
        <w:rPr>
          <w:rFonts w:hint="eastAsia" w:asciiTheme="minorEastAsia" w:hAnsiTheme="minorEastAsia" w:cstheme="minorEastAsia"/>
          <w:sz w:val="28"/>
          <w:szCs w:val="28"/>
          <w:shd w:val="clear" w:color="auto" w:fill="FFFFFF"/>
        </w:rPr>
        <w:t>报名程序及注意事项</w:t>
      </w:r>
      <w:bookmarkEnd w:id="3"/>
      <w:r>
        <w:rPr>
          <w:rFonts w:hint="eastAsia" w:asciiTheme="minorEastAsia" w:hAnsiTheme="minorEastAsia" w:cstheme="minorEastAsia"/>
          <w:sz w:val="28"/>
          <w:szCs w:val="28"/>
          <w:shd w:val="clear" w:color="auto" w:fill="FFFFFF"/>
        </w:rPr>
        <w:t>：</w:t>
      </w:r>
    </w:p>
    <w:p w14:paraId="4173B240">
      <w:pPr>
        <w:pStyle w:val="4"/>
        <w:spacing w:beforeAutospacing="0" w:afterAutospacing="0"/>
        <w:ind w:firstLine="560"/>
        <w:jc w:val="both"/>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（1）注册会员：</w:t>
      </w:r>
      <w:r>
        <w:rPr>
          <w:rFonts w:hint="eastAsia" w:asciiTheme="minorEastAsia" w:hAnsiTheme="minorEastAsia" w:cstheme="minorEastAsia"/>
          <w:sz w:val="28"/>
          <w:szCs w:val="28"/>
        </w:rPr>
        <w:t>①、竞买人须是具有完全民事行为能力的法人或其他组织；②、竞买人具有良好的征信记录，被“信用中国”网站列入失信主体(责任人)的，不得参与本次竞买活动。</w:t>
      </w:r>
    </w:p>
    <w:p w14:paraId="28E596A1">
      <w:pPr>
        <w:pStyle w:val="4"/>
        <w:spacing w:beforeAutospacing="0" w:afterAutospacing="0"/>
        <w:ind w:firstLine="560"/>
        <w:jc w:val="both"/>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（2）竞买人应在报名截止时间前登录宜兴市公共资源交易系统，进行实名会员注册（注册信息须真实、完整、准确）；注册信息经交易中心审核通过后，竞买人即可进行报名。</w:t>
      </w:r>
    </w:p>
    <w:p w14:paraId="51EE5988">
      <w:pPr>
        <w:pStyle w:val="4"/>
        <w:spacing w:beforeAutospacing="0" w:afterAutospacing="0"/>
        <w:ind w:firstLine="560"/>
        <w:jc w:val="both"/>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（2）交纳保证金：</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1485"/>
        <w:gridCol w:w="6773"/>
      </w:tblGrid>
      <w:tr w14:paraId="7229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759" w:type="dxa"/>
            <w:vAlign w:val="center"/>
          </w:tcPr>
          <w:p w14:paraId="64ECC283">
            <w:pPr>
              <w:pStyle w:val="4"/>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序号</w:t>
            </w:r>
          </w:p>
        </w:tc>
        <w:tc>
          <w:tcPr>
            <w:tcW w:w="1485" w:type="dxa"/>
            <w:vAlign w:val="center"/>
          </w:tcPr>
          <w:p w14:paraId="1413F07B">
            <w:pPr>
              <w:pStyle w:val="4"/>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拍卖保证金</w:t>
            </w:r>
          </w:p>
        </w:tc>
        <w:tc>
          <w:tcPr>
            <w:tcW w:w="6773" w:type="dxa"/>
            <w:vAlign w:val="center"/>
          </w:tcPr>
          <w:p w14:paraId="44F29A43">
            <w:pPr>
              <w:pStyle w:val="4"/>
              <w:ind w:firstLine="56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内容</w:t>
            </w:r>
          </w:p>
        </w:tc>
      </w:tr>
      <w:tr w14:paraId="6835D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59" w:type="dxa"/>
            <w:vAlign w:val="center"/>
          </w:tcPr>
          <w:p w14:paraId="22B3C0C5">
            <w:pPr>
              <w:pStyle w:val="4"/>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1</w:t>
            </w:r>
          </w:p>
        </w:tc>
        <w:tc>
          <w:tcPr>
            <w:tcW w:w="1485" w:type="dxa"/>
            <w:vAlign w:val="center"/>
          </w:tcPr>
          <w:p w14:paraId="167B8364">
            <w:pPr>
              <w:pStyle w:val="4"/>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交纳金额</w:t>
            </w:r>
          </w:p>
        </w:tc>
        <w:tc>
          <w:tcPr>
            <w:tcW w:w="6773" w:type="dxa"/>
            <w:vAlign w:val="center"/>
          </w:tcPr>
          <w:p w14:paraId="45F11DBE">
            <w:pPr>
              <w:pStyle w:val="4"/>
              <w:ind w:firstLine="56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详见电子化交易系统各标的保证金子账号信息</w:t>
            </w:r>
          </w:p>
        </w:tc>
      </w:tr>
      <w:tr w14:paraId="16BE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9" w:type="dxa"/>
            <w:vAlign w:val="center"/>
          </w:tcPr>
          <w:p w14:paraId="695DDA71">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2</w:t>
            </w:r>
          </w:p>
        </w:tc>
        <w:tc>
          <w:tcPr>
            <w:tcW w:w="1485" w:type="dxa"/>
            <w:vAlign w:val="center"/>
          </w:tcPr>
          <w:p w14:paraId="7B31A5B5">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交纳形式</w:t>
            </w:r>
          </w:p>
        </w:tc>
        <w:tc>
          <w:tcPr>
            <w:tcW w:w="6773" w:type="dxa"/>
            <w:vAlign w:val="center"/>
          </w:tcPr>
          <w:p w14:paraId="797CA935">
            <w:pPr>
              <w:pStyle w:val="4"/>
              <w:spacing w:beforeAutospacing="0" w:afterAutospacing="0" w:line="240" w:lineRule="auto"/>
              <w:ind w:firstLine="0" w:firstLineChars="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电汇方式，竞买人须在报名截止时间前从诚信库备案的基本账户或个人账户汇到本标的保证金子账号中</w:t>
            </w:r>
          </w:p>
        </w:tc>
      </w:tr>
      <w:tr w14:paraId="16A05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59" w:type="dxa"/>
            <w:vAlign w:val="center"/>
          </w:tcPr>
          <w:p w14:paraId="6BAB41C1">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3</w:t>
            </w:r>
          </w:p>
        </w:tc>
        <w:tc>
          <w:tcPr>
            <w:tcW w:w="1485" w:type="dxa"/>
            <w:vAlign w:val="center"/>
          </w:tcPr>
          <w:p w14:paraId="6EF259C9">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账户名称</w:t>
            </w:r>
          </w:p>
        </w:tc>
        <w:tc>
          <w:tcPr>
            <w:tcW w:w="6773" w:type="dxa"/>
            <w:vAlign w:val="center"/>
          </w:tcPr>
          <w:p w14:paraId="2E641E0E">
            <w:pPr>
              <w:pStyle w:val="4"/>
              <w:spacing w:beforeAutospacing="0" w:afterAutospacing="0" w:line="240" w:lineRule="auto"/>
              <w:ind w:firstLine="0" w:firstLineChars="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宜兴市公共资源交易中心</w:t>
            </w:r>
          </w:p>
        </w:tc>
      </w:tr>
      <w:tr w14:paraId="15AB3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759" w:type="dxa"/>
            <w:vAlign w:val="center"/>
          </w:tcPr>
          <w:p w14:paraId="4980BE5E">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4</w:t>
            </w:r>
          </w:p>
        </w:tc>
        <w:tc>
          <w:tcPr>
            <w:tcW w:w="1485" w:type="dxa"/>
            <w:vAlign w:val="center"/>
          </w:tcPr>
          <w:p w14:paraId="294C3DB9">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开户银行</w:t>
            </w:r>
          </w:p>
        </w:tc>
        <w:tc>
          <w:tcPr>
            <w:tcW w:w="6773" w:type="dxa"/>
            <w:vAlign w:val="center"/>
          </w:tcPr>
          <w:p w14:paraId="07B400A9">
            <w:pPr>
              <w:pStyle w:val="4"/>
              <w:spacing w:beforeAutospacing="0" w:afterAutospacing="0" w:line="240" w:lineRule="auto"/>
              <w:ind w:firstLine="0" w:firstLineChars="0"/>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中国农业银行股份有限公司宜兴分行营业部</w:t>
            </w:r>
          </w:p>
        </w:tc>
      </w:tr>
      <w:tr w14:paraId="592DD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759" w:type="dxa"/>
            <w:vAlign w:val="center"/>
          </w:tcPr>
          <w:p w14:paraId="06EAFB2E">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5</w:t>
            </w:r>
          </w:p>
        </w:tc>
        <w:tc>
          <w:tcPr>
            <w:tcW w:w="1485" w:type="dxa"/>
            <w:vAlign w:val="center"/>
          </w:tcPr>
          <w:p w14:paraId="4254D828">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银行账号</w:t>
            </w:r>
          </w:p>
        </w:tc>
        <w:tc>
          <w:tcPr>
            <w:tcW w:w="6773" w:type="dxa"/>
            <w:vAlign w:val="center"/>
          </w:tcPr>
          <w:p w14:paraId="12E02438">
            <w:pPr>
              <w:pStyle w:val="4"/>
              <w:spacing w:beforeAutospacing="0" w:afterAutospacing="0" w:line="240" w:lineRule="auto"/>
              <w:ind w:firstLine="0" w:firstLineChars="0"/>
              <w:jc w:val="center"/>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网上交易系统中相应标的保证金子账号即为该标的保证金账号</w:t>
            </w:r>
          </w:p>
        </w:tc>
      </w:tr>
    </w:tbl>
    <w:p w14:paraId="539B1B4D">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注： ① “网上交易系统”是指宜兴市公共资源交易中心网上交易系统。</w:t>
      </w:r>
    </w:p>
    <w:p w14:paraId="445238BD">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② 保证金子账号查询方式：竞买人进入网上交易系统后，即可在相应标的查看保证金子账号。</w:t>
      </w:r>
    </w:p>
    <w:p w14:paraId="387A4271">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③ 保证金划出账号必须与宜兴市公共资源交易中心企业诚信库中的企业银行基本账户或个人账户的开户账号一致，否则无法进行网上保证金的交纳，请竞买人确保企业诚信库中账户的准确性和有效性。</w:t>
      </w:r>
    </w:p>
    <w:p w14:paraId="7C54C736">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④ 各竞买人应当充分考虑各种因素导致保证金入账滞后风险 （如异地、跨行到账 延迟等银行系统问题或竞买人自身汇款有误等情况），请竞买人根据自己的实际情况尽早安排好保证金的到账时间，确保保证金在报名截止时间前到账,否则造成无效报名的责任自负。</w:t>
      </w:r>
    </w:p>
    <w:p w14:paraId="41BAD6C6">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⑤ 若因系统问题，报名截止时系统无法正常显示保证金到账情况的，以实际到账(子账号)为准。</w:t>
      </w:r>
    </w:p>
    <w:p w14:paraId="0C92AB74">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⑥ 中 国 农 业 银 行 股 份 有 限 公 司 宜 兴 分 行 营 业 部 行 号 ： 103302364819。 公共资源交易中心财务咨询电话：87956061。</w:t>
      </w:r>
    </w:p>
    <w:p w14:paraId="173556DE">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（3）特殊要求：①、竞买人须是具有完全民事行为能力的法人或其他组织；②、竞买人具有良好的征信记录，被“信用中国”网站列入失信主体(责任人)的，不得参与本次竞买活动。</w:t>
      </w:r>
    </w:p>
    <w:p w14:paraId="63F979D5">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（4）竞买人应在报名截止时间前完成注册，并按照相关要求进行报名；未在规定期限内完成报名手续的或未通过后台审核的竞买人不得参加竞买。</w:t>
      </w:r>
    </w:p>
    <w:p w14:paraId="3DC97DE9">
      <w:pPr>
        <w:pStyle w:val="4"/>
        <w:spacing w:beforeAutospacing="0" w:afterAutospacing="0"/>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（5）报名环节所需要的相关资料需以原件扫描件或照片的形式上传；竞买</w:t>
      </w:r>
      <w:r>
        <w:rPr>
          <w:rFonts w:hint="eastAsia" w:asciiTheme="minorEastAsia" w:hAnsiTheme="minorEastAsia" w:cstheme="minorEastAsia"/>
          <w:sz w:val="28"/>
          <w:szCs w:val="28"/>
          <w:shd w:val="clear" w:color="auto" w:fill="FFFFFF"/>
        </w:rPr>
        <w:t>人须确保相关资料的清晰、完整、准确，否则导致的后果由竞买人自行承担。</w:t>
      </w:r>
    </w:p>
    <w:p w14:paraId="501D06A2">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第四条 竞买人在公告规定的看样时间内，有权进行实地查看，充分了解标的物的情况,参与标的竞拍人需认可标的物的现状和周边环境。</w:t>
      </w:r>
    </w:p>
    <w:p w14:paraId="5FF483CE">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3538DC7B">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六条竞买人为法人的，须提供法定代表人身份证明书及身份证原件；若竞买人委托代理人参加竞买的，代理人必须提供身份证原件及竞买人授权委托书，否则不得参加竞买。竞买人须凭以上相关材料才能领取号牌进入拍卖会场。号牌应本人使用,不得转借他人。如出现转借情况并由此拍卖成交的,视作竞买人对使用者的授权,由此产生的责任由登记的竞买人承担。</w:t>
      </w:r>
    </w:p>
    <w:p w14:paraId="24760E7F">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第七条 本次拍卖采用有底价增价拍卖方式,起拍价为标的拍卖底价。竞买人可以举牌应价或自行报价,竞买人的最高应价以拍卖师的三声报价落槌方式确认拍卖成交。竞买人竞价应在拍卖师落槌之前才有效。</w:t>
      </w:r>
    </w:p>
    <w:p w14:paraId="669D9CA6">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第八条 拍卖师有权根据拍卖现场实际情况,调整加价幅度。有现场宣布拍卖中止和现场变更的权利，有宣布拍卖开始和结束的权利。拍卖时,拍卖人不再回答竞买人提出的有关标的物和拍卖程序的任何问题。</w:t>
      </w:r>
    </w:p>
    <w:p w14:paraId="634BA42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第九条 竞买人必须严格遵守拍卖会场的公共秩序，不得相互通告或商讨报价。</w:t>
      </w:r>
    </w:p>
    <w:p w14:paraId="17CBF175">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第十条 在拍卖会开始前，委托人有权撤回或暂停拍品的拍卖。如遇此情况，委托人、拍卖人不承担任何法律责任，竞买人所交保证金全额无息退还。</w:t>
      </w:r>
    </w:p>
    <w:p w14:paraId="11B23ED2">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51B29AFC">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第十二条 本项目无需缴纳交易服务费。</w:t>
      </w:r>
    </w:p>
    <w:p w14:paraId="75E8A4F6">
      <w:pPr>
        <w:ind w:firstLine="560"/>
        <w:jc w:val="both"/>
        <w:rPr>
          <w:rFonts w:asciiTheme="minorEastAsia" w:hAnsiTheme="minorEastAsia" w:cstheme="minorEastAsia"/>
          <w:sz w:val="28"/>
          <w:szCs w:val="28"/>
        </w:rPr>
      </w:pPr>
      <w:bookmarkStart w:id="4" w:name="_Hlk154155731"/>
      <w:r>
        <w:rPr>
          <w:rFonts w:hint="eastAsia" w:asciiTheme="minorEastAsia" w:hAnsiTheme="minorEastAsia" w:cstheme="minorEastAsia"/>
          <w:sz w:val="28"/>
          <w:szCs w:val="28"/>
        </w:rPr>
        <w:t>第十三条 拍卖成交后，买受人须按拍卖成交价的</w:t>
      </w:r>
      <w:r>
        <w:rPr>
          <w:rFonts w:hint="eastAsia" w:asciiTheme="minorEastAsia" w:hAnsiTheme="minorEastAsia" w:cstheme="minorEastAsia"/>
          <w:sz w:val="28"/>
          <w:szCs w:val="28"/>
          <w:u w:val="single"/>
        </w:rPr>
        <w:t>5</w:t>
      </w:r>
      <w:r>
        <w:rPr>
          <w:rFonts w:hint="eastAsia" w:asciiTheme="minorEastAsia" w:hAnsiTheme="minorEastAsia" w:cstheme="minorEastAsia"/>
          <w:sz w:val="28"/>
          <w:szCs w:val="28"/>
        </w:rPr>
        <w:t xml:space="preserve"> %交纳拍卖佣金</w:t>
      </w:r>
      <w:bookmarkEnd w:id="4"/>
      <w:r>
        <w:rPr>
          <w:rFonts w:hint="eastAsia" w:asciiTheme="minorEastAsia" w:hAnsiTheme="minorEastAsia" w:cstheme="minorEastAsia"/>
          <w:sz w:val="28"/>
          <w:szCs w:val="28"/>
        </w:rPr>
        <w:t>，自成交之日起5个工作日内交清拍卖成交价款、</w:t>
      </w:r>
      <w:r>
        <w:rPr>
          <w:rFonts w:hint="eastAsia" w:cs="宋体" w:asciiTheme="minorEastAsia" w:hAnsiTheme="minorEastAsia"/>
          <w:sz w:val="28"/>
          <w:szCs w:val="28"/>
        </w:rPr>
        <w:t>清运保证金50万元</w:t>
      </w:r>
      <w:r>
        <w:rPr>
          <w:rFonts w:hint="eastAsia" w:asciiTheme="minorEastAsia" w:hAnsiTheme="minorEastAsia" w:cstheme="minorEastAsia"/>
          <w:sz w:val="28"/>
          <w:szCs w:val="28"/>
        </w:rPr>
        <w:t>及</w:t>
      </w:r>
      <w:r>
        <w:rPr>
          <w:rFonts w:hint="eastAsia" w:cs="仿宋" w:asciiTheme="minorEastAsia" w:hAnsiTheme="minorEastAsia"/>
          <w:sz w:val="28"/>
          <w:szCs w:val="28"/>
        </w:rPr>
        <w:t>运输管理保证金50万（其中：清洁化管理保证金10万元、道路修复保证金40万元）</w:t>
      </w:r>
      <w:r>
        <w:rPr>
          <w:rFonts w:hint="eastAsia" w:asciiTheme="minorEastAsia" w:hAnsiTheme="minorEastAsia" w:cstheme="minorEastAsia"/>
          <w:sz w:val="28"/>
          <w:szCs w:val="28"/>
        </w:rPr>
        <w:t>、拍卖佣金，并按规定汇入指定账户（详见缴款流程），并以到账时间为准。</w:t>
      </w:r>
    </w:p>
    <w:p w14:paraId="6F2B3310">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根据拍卖法第三十九条规定，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11299A19">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第十四条 拍卖成交后,拍卖人向买受人提供拍卖成交确认书和佣金票据,委托人向买受人提供成交额财政收据。</w:t>
      </w:r>
    </w:p>
    <w:p w14:paraId="22E5CAE1">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第十五条 拍卖成交后，买受人须在已交清全部款项后5个工作日内，按委托人要求签订《拍品交接单》。由委托人和买受人办理拍卖标的物的交付手续（拍品按现状交付，由买受人自行负责，本公司不承担拍品的已知和未知的瑕疵担保责任）。</w:t>
      </w:r>
    </w:p>
    <w:p w14:paraId="24BF5B1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第十六条 当竞买人出现下列情形时，交易保证金不予退还：</w:t>
      </w:r>
    </w:p>
    <w:p w14:paraId="1839DAD6">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（一）竞买人故意提供虚假、失实材料使委托人受损的；</w:t>
      </w:r>
    </w:p>
    <w:p w14:paraId="4557725F">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（二）竞买人通过获取委托人商业秘密或有恶意串通、操纵、垄断等影响公平竞争的行为，侵害委托人合法权益的；</w:t>
      </w:r>
    </w:p>
    <w:p w14:paraId="3745542C">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（三）竞买人阻挠他人竞价，影响拍卖流程正常进行的；</w:t>
      </w:r>
    </w:p>
    <w:p w14:paraId="616F107F">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（四）竞买人无故不推进交易或无故放弃受让的；</w:t>
      </w:r>
    </w:p>
    <w:p w14:paraId="1709FB11">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（五）竞买人违反交易合同或协议约定的；</w:t>
      </w:r>
    </w:p>
    <w:p w14:paraId="3739D5FB">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（六）竞买人违反法律法规或相关规定给委托人造成损失的；</w:t>
      </w:r>
    </w:p>
    <w:p w14:paraId="254062C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（七）信息披露公告中约定的交易保证金不予退还的其他情形。</w:t>
      </w:r>
    </w:p>
    <w:p w14:paraId="7AF90803">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交易保证金金额不足以弥补损失的，委托人可以向有过错的竞买人进行追偿。</w:t>
      </w:r>
    </w:p>
    <w:p w14:paraId="1DC003C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第十七条 拍卖保证金处置：</w:t>
      </w:r>
    </w:p>
    <w:p w14:paraId="3C78072B">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一）买受人在规定时间内付清全部款项后，拍卖公司在收到拍卖成交款票据、拍卖佣金票据等凭证后5个工作日内上传相关凭证并发起保证金退还申请，交易中心在收到申请后5个工作日内，将保证金全额无息返还；</w:t>
      </w:r>
    </w:p>
    <w:p w14:paraId="08B1F449">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（二）竞买不成功的，拍卖公司在交易完成后5个工作日内发起保证金退还申请，交易中心在收到申请后5个工作日内，将保证金全额无息返还；</w:t>
      </w:r>
    </w:p>
    <w:p w14:paraId="6010103C">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（三）当竞买人出现第十六条第一款情形或买受人未按照约定支付价款的，交易中心将依据信息披露公告内容及相关约定，将不予退还的交易保证金交由委托人处置。</w:t>
      </w:r>
    </w:p>
    <w:p w14:paraId="65287089">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第十八条 本次拍品拍卖时的起拍价、成交价均不含拍卖人在竞得后所需支付的包括但不限于佣金、清运保证金、运输管理保证金等发生的一切相关费用和税费。</w:t>
      </w:r>
    </w:p>
    <w:p w14:paraId="5F64C163">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第十九条 本规则未明示的拍品不明瑕疵与委托人及拍卖人无关。</w:t>
      </w:r>
    </w:p>
    <w:p w14:paraId="61A01842">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第二十条 本规则未尽事宜，按《中华人民共和国拍卖法》及相关法律法规规定执行。</w:t>
      </w:r>
    </w:p>
    <w:p w14:paraId="4EEA66FE">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第二十一条 标的物的瑕疵说明：拍卖石料一切以现场实物为准，数量、规格、品质仅供参考，堆放位置界线以测绘公司测绘图为准。</w:t>
      </w:r>
    </w:p>
    <w:p w14:paraId="32DB9C61">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二、专用条款：</w:t>
      </w:r>
    </w:p>
    <w:p w14:paraId="05783224">
      <w:pPr>
        <w:ind w:firstLine="560"/>
        <w:jc w:val="both"/>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1、本次拍卖的成交价</w:t>
      </w:r>
      <w:r>
        <w:rPr>
          <w:rFonts w:hint="eastAsia" w:asciiTheme="minorEastAsia" w:hAnsiTheme="minorEastAsia" w:cstheme="minorEastAsia"/>
          <w:sz w:val="28"/>
          <w:szCs w:val="28"/>
          <w:lang w:val="zh-CN"/>
        </w:rPr>
        <w:t>均</w:t>
      </w:r>
      <w:r>
        <w:rPr>
          <w:rFonts w:hint="eastAsia" w:asciiTheme="minorEastAsia" w:hAnsiTheme="minorEastAsia" w:cstheme="minorEastAsia"/>
          <w:sz w:val="28"/>
          <w:szCs w:val="28"/>
        </w:rPr>
        <w:t>为不含税，</w:t>
      </w:r>
      <w:r>
        <w:rPr>
          <w:rFonts w:hint="eastAsia" w:asciiTheme="minorEastAsia" w:hAnsiTheme="minorEastAsia" w:cstheme="minorEastAsia"/>
          <w:sz w:val="28"/>
          <w:szCs w:val="28"/>
          <w:lang w:val="zh-CN"/>
        </w:rPr>
        <w:t>不含竞买人一旦竞得后所需支付的佣金、测绘、装卸、运输、保管</w:t>
      </w:r>
      <w:r>
        <w:rPr>
          <w:rFonts w:hint="eastAsia" w:asciiTheme="minorEastAsia" w:hAnsiTheme="minorEastAsia" w:cstheme="minorEastAsia"/>
          <w:sz w:val="28"/>
          <w:szCs w:val="28"/>
        </w:rPr>
        <w:t>费</w:t>
      </w:r>
      <w:r>
        <w:rPr>
          <w:rFonts w:hint="eastAsia" w:asciiTheme="minorEastAsia" w:hAnsiTheme="minorEastAsia" w:cstheme="minorEastAsia"/>
          <w:sz w:val="28"/>
          <w:szCs w:val="28"/>
          <w:lang w:val="zh-CN"/>
        </w:rPr>
        <w:t>等发生的一切相关费用。</w:t>
      </w:r>
    </w:p>
    <w:p w14:paraId="60EA8855">
      <w:pPr>
        <w:ind w:firstLine="560"/>
        <w:jc w:val="left"/>
        <w:rPr>
          <w:sz w:val="28"/>
          <w:szCs w:val="28"/>
        </w:rPr>
      </w:pPr>
      <w:r>
        <w:rPr>
          <w:rFonts w:hint="eastAsia"/>
          <w:sz w:val="28"/>
          <w:szCs w:val="28"/>
        </w:rPr>
        <w:t>2、拍卖成交后，买受人还需支付两处余弃土石方测绘费共计23176元(详见缴款流程)。</w:t>
      </w:r>
    </w:p>
    <w:p w14:paraId="066264CE">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3、买受人必须在5个工作日内付清拍卖成交价款、拍卖佣金、</w:t>
      </w:r>
      <w:r>
        <w:rPr>
          <w:rFonts w:hint="eastAsia" w:cs="宋体" w:asciiTheme="minorEastAsia" w:hAnsiTheme="minorEastAsia"/>
          <w:sz w:val="28"/>
          <w:szCs w:val="28"/>
        </w:rPr>
        <w:t>清运保证金50万元</w:t>
      </w:r>
      <w:r>
        <w:rPr>
          <w:rFonts w:hint="eastAsia" w:asciiTheme="minorEastAsia" w:hAnsiTheme="minorEastAsia" w:cstheme="minorEastAsia"/>
          <w:sz w:val="28"/>
          <w:szCs w:val="28"/>
        </w:rPr>
        <w:t>及</w:t>
      </w:r>
      <w:r>
        <w:rPr>
          <w:rFonts w:hint="eastAsia" w:cs="仿宋" w:asciiTheme="minorEastAsia" w:hAnsiTheme="minorEastAsia"/>
          <w:sz w:val="28"/>
          <w:szCs w:val="28"/>
        </w:rPr>
        <w:t>运输管理保证金50万（其中：清洁化管理保证金10万元、道路修复保证金40万元）</w:t>
      </w:r>
      <w:r>
        <w:rPr>
          <w:rFonts w:hint="eastAsia" w:asciiTheme="minorEastAsia" w:hAnsiTheme="minorEastAsia" w:cstheme="minorEastAsia"/>
          <w:sz w:val="28"/>
          <w:szCs w:val="28"/>
        </w:rPr>
        <w:t>、拍卖佣金到指定账户（详见成交确认书及缴款流程）。清运保证金及运输管理保证金在清运完成后按实际清运考核情况无息退还。</w:t>
      </w:r>
    </w:p>
    <w:p w14:paraId="1B2EAC3E">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4、拍卖成交后，买受人须按预估成交总价款的5%支付拍卖佣金。拍卖人提供拍卖成交确认书及佣金票据各一份；委托方提供成交价款财政收据。</w:t>
      </w:r>
    </w:p>
    <w:p w14:paraId="67B5C881">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5、买受人在付清所有价款后5个工作日内自行办理取得属地政府的运输通行证；在取得属地政府的通行证，自进场清运日后120天内清运完所有拍卖标的物。</w:t>
      </w:r>
    </w:p>
    <w:p w14:paraId="3F8F4CC3">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6、买受人须自行组织运输工具，制定详细的实施方案、运输计划及安全保障措施，报镇相关职能部门审核通过后组织实施</w:t>
      </w:r>
      <w:r>
        <w:rPr>
          <w:rFonts w:hint="eastAsia" w:asciiTheme="minorEastAsia" w:hAnsiTheme="minorEastAsia" w:cstheme="minorEastAsia"/>
          <w:sz w:val="28"/>
          <w:szCs w:val="28"/>
          <w:shd w:val="clear" w:color="auto" w:fill="FFFFFF"/>
        </w:rPr>
        <w:t>。</w:t>
      </w:r>
      <w:r>
        <w:rPr>
          <w:rFonts w:hint="eastAsia" w:asciiTheme="minorEastAsia" w:hAnsiTheme="minorEastAsia" w:cstheme="minorEastAsia"/>
          <w:sz w:val="28"/>
          <w:szCs w:val="28"/>
        </w:rPr>
        <w:t>在拍卖标的物处置清运过程中，自觉接受运输通道沿途属地管理。为保证清洁化运输，承诺车辆采用新型轨道平移式篷布，不破坏运输线路沿线环境和路面。严格遵守装载取料的范围，不超越范围取料，文明施工，不影响周边的正常工作秩序。</w:t>
      </w:r>
    </w:p>
    <w:p w14:paraId="552D8961">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7、清运涉及到道路运输的，由买受人自行与属地政府协商解决并承担相关费用。清运中发生道路或设施损坏的，由此导致的损失由买受人承担，买受人拒绝赔偿的，委托人有权垫付相关费用并从道路运输保证金中扣除，保证金不足以抵扣的，委托人有权向买受人追偿。</w:t>
      </w:r>
    </w:p>
    <w:p w14:paraId="47CAE788">
      <w:pPr>
        <w:ind w:firstLine="560"/>
        <w:jc w:val="both"/>
        <w:rPr>
          <w:rFonts w:asciiTheme="minorEastAsia" w:hAnsiTheme="minorEastAsia" w:cstheme="minorEastAsia"/>
          <w:sz w:val="28"/>
          <w:szCs w:val="28"/>
          <w:shd w:val="clear" w:color="auto" w:fill="FFFFFF"/>
        </w:rPr>
      </w:pPr>
      <w:r>
        <w:rPr>
          <w:rFonts w:hint="eastAsia" w:asciiTheme="minorEastAsia" w:hAnsiTheme="minorEastAsia" w:cstheme="minorEastAsia"/>
          <w:sz w:val="28"/>
          <w:szCs w:val="28"/>
          <w:shd w:val="clear" w:color="auto" w:fill="FFFFFF"/>
        </w:rPr>
        <w:t>8、</w:t>
      </w:r>
      <w:r>
        <w:rPr>
          <w:rFonts w:hint="eastAsia" w:asciiTheme="minorEastAsia" w:hAnsiTheme="minorEastAsia" w:cstheme="minorEastAsia"/>
          <w:sz w:val="28"/>
          <w:szCs w:val="28"/>
        </w:rPr>
        <w:t>买受人须在规定时间内清运完所有拍卖标的物。</w:t>
      </w:r>
      <w:r>
        <w:rPr>
          <w:rFonts w:hint="eastAsia" w:asciiTheme="minorEastAsia" w:hAnsiTheme="minorEastAsia" w:cstheme="minorEastAsia"/>
          <w:sz w:val="28"/>
          <w:szCs w:val="28"/>
          <w:shd w:val="clear" w:color="auto" w:fill="FFFFFF"/>
        </w:rPr>
        <w:t>逾期按 2000元/天支付滞运堆场费给委托方，该费用在清运保证金中扣除，直至扣完，剩余拍卖标的物视为自动放弃，</w:t>
      </w:r>
      <w:r>
        <w:rPr>
          <w:rFonts w:hint="eastAsia" w:asciiTheme="minorEastAsia" w:hAnsiTheme="minorEastAsia" w:cstheme="minorEastAsia"/>
          <w:sz w:val="28"/>
          <w:szCs w:val="28"/>
        </w:rPr>
        <w:t>并按违约处理。</w:t>
      </w:r>
      <w:r>
        <w:rPr>
          <w:rFonts w:hint="eastAsia" w:asciiTheme="minorEastAsia" w:hAnsiTheme="minorEastAsia" w:cstheme="minorEastAsia"/>
          <w:sz w:val="28"/>
          <w:szCs w:val="28"/>
          <w:shd w:val="clear" w:color="auto" w:fill="FFFFFF"/>
        </w:rPr>
        <w:t>买受人遇政府要求及不可抗力因素停运的，按实际停运天数顺延清运期限。</w:t>
      </w:r>
    </w:p>
    <w:p w14:paraId="627ECD2A">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9、</w:t>
      </w:r>
      <w:r>
        <w:rPr>
          <w:rFonts w:hint="eastAsia" w:asciiTheme="minorEastAsia" w:hAnsiTheme="minorEastAsia" w:cstheme="minorEastAsia"/>
          <w:sz w:val="28"/>
          <w:szCs w:val="28"/>
          <w:lang w:val="zh-CN"/>
        </w:rPr>
        <w:t>买受人应自行解决该拍品的装载、运输、保管等各项工作</w:t>
      </w:r>
      <w:r>
        <w:rPr>
          <w:rFonts w:hint="eastAsia" w:asciiTheme="minorEastAsia" w:hAnsiTheme="minorEastAsia" w:cstheme="minorEastAsia"/>
          <w:sz w:val="28"/>
          <w:szCs w:val="28"/>
        </w:rPr>
        <w:t>，并承担包含但不限于上述过程中的安全责任问题。</w:t>
      </w:r>
    </w:p>
    <w:p w14:paraId="3D7E760F">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10、买受人装运成交标的时，须听从委托方有关负责人员的指挥。本次拍卖的土石料，以原地面水平面以上、指定区域范围内的土石料堆积体，禁止使用破头机、凿岩机等开采设备，只能清运场地平整已剥离完成的土石方，不得出现超出标的物界线范围开挖、装载或清运矿产资源的违规行为，一旦发现，视为违约，立即中止运输，若因此造成的一切损失由买受人承担，并按相关法律移交公安机关处理，同时扣除相应价值的清运保证金。</w:t>
      </w:r>
    </w:p>
    <w:p w14:paraId="52B11436">
      <w:pPr>
        <w:ind w:firstLine="560"/>
        <w:jc w:val="both"/>
        <w:rPr>
          <w:rFonts w:asciiTheme="minorEastAsia" w:hAnsiTheme="minorEastAsia" w:cstheme="minorEastAsia"/>
          <w:sz w:val="28"/>
          <w:szCs w:val="28"/>
        </w:rPr>
      </w:pPr>
      <w:r>
        <w:rPr>
          <w:rFonts w:hint="eastAsia" w:asciiTheme="minorEastAsia" w:hAnsiTheme="minorEastAsia" w:cstheme="minorEastAsia"/>
          <w:sz w:val="28"/>
          <w:szCs w:val="28"/>
        </w:rPr>
        <w:t>竞买人对以上内容应仔细阅读，在确认已充分知晓并理解各条款之确切含义及相应法律责任后签字确认：</w:t>
      </w:r>
    </w:p>
    <w:p w14:paraId="1CC9272C">
      <w:pPr>
        <w:ind w:firstLine="560"/>
        <w:jc w:val="both"/>
        <w:rPr>
          <w:rFonts w:asciiTheme="minorEastAsia" w:hAnsiTheme="minorEastAsia" w:cstheme="minorEastAsia"/>
          <w:sz w:val="28"/>
          <w:szCs w:val="28"/>
        </w:rPr>
      </w:pPr>
    </w:p>
    <w:p w14:paraId="4FCDB56D">
      <w:pPr>
        <w:ind w:firstLine="560"/>
        <w:jc w:val="both"/>
        <w:rPr>
          <w:rFonts w:asciiTheme="minorEastAsia" w:hAnsiTheme="minorEastAsia" w:cstheme="minorEastAsia"/>
          <w:sz w:val="28"/>
          <w:szCs w:val="28"/>
        </w:rPr>
      </w:pPr>
      <w:bookmarkStart w:id="5" w:name="_GoBack"/>
      <w:bookmarkEnd w:id="5"/>
    </w:p>
    <w:p w14:paraId="2BF19E52">
      <w:pPr>
        <w:ind w:firstLine="0" w:firstLineChars="0"/>
        <w:jc w:val="both"/>
        <w:rPr>
          <w:rFonts w:asciiTheme="minorEastAsia" w:hAnsiTheme="minorEastAsia" w:cstheme="minorEastAsia"/>
          <w:sz w:val="28"/>
          <w:szCs w:val="28"/>
        </w:rPr>
      </w:pPr>
    </w:p>
    <w:p w14:paraId="559897C7">
      <w:pPr>
        <w:ind w:firstLine="56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无锡敦堂拍卖有限公司  </w:t>
      </w:r>
    </w:p>
    <w:p w14:paraId="62B4203F">
      <w:pPr>
        <w:ind w:firstLine="56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2025年 </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 xml:space="preserve"> 月 </w:t>
      </w:r>
      <w:r>
        <w:rPr>
          <w:rFonts w:hint="eastAsia" w:asciiTheme="minorEastAsia" w:hAnsiTheme="minorEastAsia" w:cstheme="minorEastAsia"/>
          <w:sz w:val="28"/>
          <w:szCs w:val="28"/>
          <w:lang w:val="en-US" w:eastAsia="zh-CN"/>
        </w:rPr>
        <w:t>22</w:t>
      </w:r>
      <w:r>
        <w:rPr>
          <w:rFonts w:hint="eastAsia" w:asciiTheme="minorEastAsia" w:hAnsiTheme="minorEastAsia" w:cstheme="minorEastAsia"/>
          <w:sz w:val="28"/>
          <w:szCs w:val="28"/>
        </w:rPr>
        <w:t xml:space="preserve"> 日</w:t>
      </w:r>
    </w:p>
    <w:sectPr>
      <w:footerReference r:id="rId5" w:type="default"/>
      <w:pgSz w:w="11906" w:h="16838"/>
      <w:pgMar w:top="1361" w:right="1361" w:bottom="1361" w:left="136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7CB62F">
    <w:pPr>
      <w:pStyle w:val="3"/>
      <w:ind w:firstLine="360"/>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14:paraId="72D88C1D">
                <w:pPr>
                  <w:pStyle w:val="3"/>
                  <w:ind w:firstLine="360"/>
                </w:pPr>
                <w:r>
                  <w:t xml:space="preserve">第 </w:t>
                </w:r>
                <w:r>
                  <w:fldChar w:fldCharType="begin"/>
                </w:r>
                <w:r>
                  <w:instrText xml:space="preserve"> PAGE  \* MERGEFORMAT </w:instrText>
                </w:r>
                <w:r>
                  <w:fldChar w:fldCharType="separate"/>
                </w:r>
                <w:r>
                  <w:t>8</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ZiNTFiOTcwNzNkMmZjZjZjNTY2ZDE4YzA5NDhjZTgifQ=="/>
  </w:docVars>
  <w:rsids>
    <w:rsidRoot w:val="00270639"/>
    <w:rsid w:val="000B4102"/>
    <w:rsid w:val="00141544"/>
    <w:rsid w:val="0015667B"/>
    <w:rsid w:val="001B3573"/>
    <w:rsid w:val="001E50E3"/>
    <w:rsid w:val="0021353D"/>
    <w:rsid w:val="00270639"/>
    <w:rsid w:val="002E7786"/>
    <w:rsid w:val="00383EA2"/>
    <w:rsid w:val="00394129"/>
    <w:rsid w:val="00425D82"/>
    <w:rsid w:val="004721D5"/>
    <w:rsid w:val="00504819"/>
    <w:rsid w:val="005101AC"/>
    <w:rsid w:val="006141E5"/>
    <w:rsid w:val="007D6FE4"/>
    <w:rsid w:val="00835141"/>
    <w:rsid w:val="008F6B81"/>
    <w:rsid w:val="009010EF"/>
    <w:rsid w:val="00903427"/>
    <w:rsid w:val="00961B63"/>
    <w:rsid w:val="009F058B"/>
    <w:rsid w:val="00A20928"/>
    <w:rsid w:val="00AB1760"/>
    <w:rsid w:val="00BD0515"/>
    <w:rsid w:val="00C0053E"/>
    <w:rsid w:val="00C4688B"/>
    <w:rsid w:val="00C52CC1"/>
    <w:rsid w:val="00C734A2"/>
    <w:rsid w:val="00CC4526"/>
    <w:rsid w:val="00CF4C9F"/>
    <w:rsid w:val="00DA2D72"/>
    <w:rsid w:val="00DA4262"/>
    <w:rsid w:val="00E4063E"/>
    <w:rsid w:val="00E76EC3"/>
    <w:rsid w:val="00E80C7B"/>
    <w:rsid w:val="00EC61C9"/>
    <w:rsid w:val="01714984"/>
    <w:rsid w:val="0333345C"/>
    <w:rsid w:val="04F03C97"/>
    <w:rsid w:val="051B5F74"/>
    <w:rsid w:val="053C6EDC"/>
    <w:rsid w:val="0790229A"/>
    <w:rsid w:val="0CDE4E63"/>
    <w:rsid w:val="0D2F0621"/>
    <w:rsid w:val="0D313465"/>
    <w:rsid w:val="0DE467DA"/>
    <w:rsid w:val="0DF35F54"/>
    <w:rsid w:val="0DFA0BAD"/>
    <w:rsid w:val="0ED70EAF"/>
    <w:rsid w:val="0F3420BD"/>
    <w:rsid w:val="0F601330"/>
    <w:rsid w:val="0FA364D6"/>
    <w:rsid w:val="0FB83EBF"/>
    <w:rsid w:val="1164570F"/>
    <w:rsid w:val="123D33E1"/>
    <w:rsid w:val="12857438"/>
    <w:rsid w:val="12A10CC7"/>
    <w:rsid w:val="12A73CD5"/>
    <w:rsid w:val="14060C07"/>
    <w:rsid w:val="16133C89"/>
    <w:rsid w:val="17DC5CA4"/>
    <w:rsid w:val="1819758E"/>
    <w:rsid w:val="18B067CF"/>
    <w:rsid w:val="192306DD"/>
    <w:rsid w:val="194523AC"/>
    <w:rsid w:val="1A96457F"/>
    <w:rsid w:val="1AF720E8"/>
    <w:rsid w:val="1C040E10"/>
    <w:rsid w:val="1CCB45C2"/>
    <w:rsid w:val="20FA3A7C"/>
    <w:rsid w:val="22773079"/>
    <w:rsid w:val="24B85237"/>
    <w:rsid w:val="25537BFE"/>
    <w:rsid w:val="26C86EC0"/>
    <w:rsid w:val="278C7703"/>
    <w:rsid w:val="29AE5C47"/>
    <w:rsid w:val="2A3C5105"/>
    <w:rsid w:val="2AC04FB7"/>
    <w:rsid w:val="2BD761B3"/>
    <w:rsid w:val="2CCB6C14"/>
    <w:rsid w:val="2D6C3F53"/>
    <w:rsid w:val="2DBC2AE5"/>
    <w:rsid w:val="2E70537D"/>
    <w:rsid w:val="2EA62624"/>
    <w:rsid w:val="2ED710DE"/>
    <w:rsid w:val="2F0E4B96"/>
    <w:rsid w:val="2F492340"/>
    <w:rsid w:val="2F572569"/>
    <w:rsid w:val="32695335"/>
    <w:rsid w:val="32D74B82"/>
    <w:rsid w:val="331619F9"/>
    <w:rsid w:val="33323549"/>
    <w:rsid w:val="33673ECA"/>
    <w:rsid w:val="3410342A"/>
    <w:rsid w:val="34922213"/>
    <w:rsid w:val="35970DAD"/>
    <w:rsid w:val="36060808"/>
    <w:rsid w:val="36B351C5"/>
    <w:rsid w:val="38241206"/>
    <w:rsid w:val="384032E9"/>
    <w:rsid w:val="3C097069"/>
    <w:rsid w:val="3EFF21D9"/>
    <w:rsid w:val="42C827B2"/>
    <w:rsid w:val="431C2BB3"/>
    <w:rsid w:val="46E03DF8"/>
    <w:rsid w:val="471D1529"/>
    <w:rsid w:val="48D80297"/>
    <w:rsid w:val="49DA7107"/>
    <w:rsid w:val="49FD0420"/>
    <w:rsid w:val="4AF54AD5"/>
    <w:rsid w:val="4BD96800"/>
    <w:rsid w:val="4CBD1C7E"/>
    <w:rsid w:val="4E140BEB"/>
    <w:rsid w:val="4E706752"/>
    <w:rsid w:val="4FDA0317"/>
    <w:rsid w:val="51DA0BDC"/>
    <w:rsid w:val="526037D7"/>
    <w:rsid w:val="5380453A"/>
    <w:rsid w:val="53C62A94"/>
    <w:rsid w:val="53C94501"/>
    <w:rsid w:val="5437167A"/>
    <w:rsid w:val="54A3212E"/>
    <w:rsid w:val="54FB0DC4"/>
    <w:rsid w:val="55444E5C"/>
    <w:rsid w:val="55A10B06"/>
    <w:rsid w:val="55E51921"/>
    <w:rsid w:val="55E71B19"/>
    <w:rsid w:val="56777341"/>
    <w:rsid w:val="57160203"/>
    <w:rsid w:val="58C26EDC"/>
    <w:rsid w:val="58F44C79"/>
    <w:rsid w:val="59205A6E"/>
    <w:rsid w:val="595B6AA6"/>
    <w:rsid w:val="5AD11944"/>
    <w:rsid w:val="5AEF38A5"/>
    <w:rsid w:val="5B0D4D97"/>
    <w:rsid w:val="5C574234"/>
    <w:rsid w:val="5E120028"/>
    <w:rsid w:val="5EF34FFB"/>
    <w:rsid w:val="60DB227B"/>
    <w:rsid w:val="614B11AE"/>
    <w:rsid w:val="61F02A74"/>
    <w:rsid w:val="645767BB"/>
    <w:rsid w:val="64602371"/>
    <w:rsid w:val="660E4EA0"/>
    <w:rsid w:val="66FB6FF1"/>
    <w:rsid w:val="68532F7A"/>
    <w:rsid w:val="695D4175"/>
    <w:rsid w:val="697D4AC2"/>
    <w:rsid w:val="6A104B04"/>
    <w:rsid w:val="6A446655"/>
    <w:rsid w:val="6A9A4F55"/>
    <w:rsid w:val="6BCC55E2"/>
    <w:rsid w:val="6EC356CD"/>
    <w:rsid w:val="6F482643"/>
    <w:rsid w:val="6F871F4B"/>
    <w:rsid w:val="712E6A18"/>
    <w:rsid w:val="72C31F7E"/>
    <w:rsid w:val="738D2B36"/>
    <w:rsid w:val="744F0B5E"/>
    <w:rsid w:val="74D147AA"/>
    <w:rsid w:val="76514AC5"/>
    <w:rsid w:val="76781F92"/>
    <w:rsid w:val="77533873"/>
    <w:rsid w:val="77610F13"/>
    <w:rsid w:val="78F97A5A"/>
    <w:rsid w:val="79627149"/>
    <w:rsid w:val="7A0D1DA1"/>
    <w:rsid w:val="7A3B2ACB"/>
    <w:rsid w:val="7A950625"/>
    <w:rsid w:val="7B851FEE"/>
    <w:rsid w:val="7C2D3E7B"/>
    <w:rsid w:val="7CE57515"/>
    <w:rsid w:val="7FFF49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20" w:firstLineChars="200"/>
      <w:jc w:val="center"/>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列出段落1"/>
    <w:basedOn w:val="1"/>
    <w:autoRedefine/>
    <w:qFormat/>
    <w:uiPriority w:val="0"/>
    <w:pPr>
      <w:jc w:val="both"/>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4191</Words>
  <Characters>4276</Characters>
  <Lines>31</Lines>
  <Paragraphs>8</Paragraphs>
  <TotalTime>60</TotalTime>
  <ScaleCrop>false</ScaleCrop>
  <LinksUpToDate>false</LinksUpToDate>
  <CharactersWithSpaces>4336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2025-03-06T03:57:00Z</dcterms:created>
  <dc:creator>Administrator</dc:creator>
  <cp:lastModifiedBy>BOBO</cp:lastModifiedBy>
  <dcterms:modified xsi:type="dcterms:W3CDTF">2025-05-22T07:31:22Z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6538D4BFBB78446594AB2A0EB16DAFD1_13</vt:lpwstr>
  </property>
  <property fmtid="{D5CDD505-2E9C-101B-9397-08002B2CF9AE}" pid="4" name="KSOTemplateDocerSaveRecord">
    <vt:lpwstr>eyJoZGlkIjoiMDYyMzYwNzFhYTQxYWU3NzljZGQxMzMxNzM0MzNjMWMiLCJ1c2VySWQiOiIyNTE5NDU3OTcifQ==</vt:lpwstr>
  </property>
</Properties>
</file>